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№05-0189/14/2025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директора наименование организации (ИНН 5003160523) фио, паспортные данные, урож. адрес, ИНН 591806025853, паспортные данные, гражд. России, адрес места жительства: адрес, привлекаемой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директор наименование организации фио предоставила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на адрес.</w:t>
      </w:r>
    </w:p>
    <w:p w:rsidR="00A77B3E">
      <w:r>
        <w:t>фио в судебное заседание не явилась. О времени и месте рассмотрения дела извещена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МИ ФНС №23 по адрес было зарегистрировано наименование организации, адрес места нахождения и адрес юридического лица указан адрес, г.адрес,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на адрес.</w:t>
      </w:r>
    </w:p>
    <w:p w:rsidR="00A77B3E">
      <w:r>
        <w:t>дата МИФНС №6 по адрес были проведены мероприятия по проверке достоверности представленных сведений, проведён осмотр объекта недвижимости по указанному адресу по результатам чего составлен соответствующий протокол осмотра и установлено, что по указанному адресу находится пятиэтажный жилой многоквартирный дом, со всех сторон огороженный забором. Ворота и калитки закрыты на навесные замки, кнопка вызова отсутствует, имеется табличка «посторонним вход воспрещён».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№74/5 от дата; распиской о получении документов от дата №3551А; заявлением о государственной регистрации изменений; решением о приостановлении государственной регистрации; протоколом общего собрания учредителей наименование организации от дата; договором аренды помещения №ЗПК 0325/1 от дата; протоколом осмотра объекта недвижимости от дата №23/18-29 с видеозаписью процедуры осмотра; списком почтовых отправлений от дата о направлении письма МИФНС №9 по РК в адрес наименование организации, которое согласно отчёту об отслеживании почтового отправления №29505306061229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допустила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директора наименование организации (ИНН 5003160523) фио – виновной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