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DA3" w:rsidRPr="00A763F9" w:rsidP="000A4DA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3</w:t>
      </w:r>
      <w:r w:rsidR="0003269C">
        <w:rPr>
          <w:rFonts w:ascii="Times New Roman" w:eastAsia="Times New Roman" w:hAnsi="Times New Roman" w:cs="Times New Roman"/>
          <w:sz w:val="27"/>
          <w:szCs w:val="27"/>
        </w:rPr>
        <w:t>81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A4DA3" w:rsidRPr="00A763F9" w:rsidP="000326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декабря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A763F9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</w:t>
      </w:r>
      <w:r w:rsidRPr="00A763F9">
        <w:rPr>
          <w:rFonts w:ascii="Times New Roman" w:hAnsi="Times New Roman" w:cs="Times New Roman"/>
          <w:sz w:val="27"/>
          <w:szCs w:val="27"/>
        </w:rPr>
        <w:t>Республики Крым Тоскина А.Л.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A763F9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Симферополь, по адресу: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763F9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946C5" w:rsidRPr="00A763F9" w:rsidP="009946C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– </w:t>
      </w:r>
      <w:r w:rsidR="0003269C"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директора Общества с ограниченной ответственностью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«ЭЛИТ» Яхяевой Айше Илмиевны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D15EDD" w:rsidR="00D0694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Яхяев</w:t>
      </w:r>
      <w:r>
        <w:rPr>
          <w:rFonts w:ascii="Times New Roman" w:eastAsia="Times New Roman" w:hAnsi="Times New Roman" w:cs="Times New Roman"/>
          <w:sz w:val="27"/>
          <w:szCs w:val="27"/>
        </w:rPr>
        <w:t>а А.И., будучи должностным лицом – гене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ральным 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ЭЛИТ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eastAsia="Times New Roman" w:hAnsi="Times New Roman" w:cs="Times New Roman"/>
          <w:sz w:val="27"/>
          <w:szCs w:val="27"/>
        </w:rPr>
        <w:t>ЭЛИТ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eastAsia="Times New Roman" w:hAnsi="Times New Roman" w:cs="Times New Roman"/>
          <w:sz w:val="27"/>
          <w:szCs w:val="27"/>
        </w:rPr>
        <w:t>Севастопольская, 31, оф. 1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в установленный законод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ательством о налогах и сборах срок налоговую декларацию по налогу на прибыль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года по сроку предоставления – 25.</w:t>
      </w:r>
      <w:r>
        <w:rPr>
          <w:rFonts w:ascii="Times New Roman" w:eastAsia="Times New Roman" w:hAnsi="Times New Roman" w:cs="Times New Roman"/>
          <w:sz w:val="27"/>
          <w:szCs w:val="27"/>
        </w:rPr>
        <w:t>04.2024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 Фактически декларация 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25.07.2024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79B0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>Яхяева А.И.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 не явил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, о дате, времени и месте 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рассмотрения дела уведомлен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рассмотрении дела мировому судье не направил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считаю возможным рассмотреть дело в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ее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Порядок и сроки предоставления налоговых деклараций по налогу на прибыль регулируется главой 25 Налогового кодекса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Российской Федерации.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нном настоящей статьей.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периодом по налогу признается календарный год.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Пунктом 2 ст. 285 Налогового кодекса Российской Федерации предусмотрено, что отчетными периодами по налог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у признаются первый квартал, полугодие и девять месяцев календарного года.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Согласно п. 3 ст. 289 Налогового кодекса Российской Федерации, налогоплательщики (налоговые агенты) представляют налоговые декларации (налоговые расчеты) не позднее 25 календарных д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отчетного периода, по итогам которого производится исчисление авансового платежа.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им налоговым периодом (п. 4 ст. 289 Налогового кодекса Российской Федерации).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граничным днем срока предоставления декларации по налогу на прибыль  за 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года является 25.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04.2024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налоговая декларация на пологу на прибыль за 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года подана в ИФНС России по г. Симферополю юридическим лицом посредством телекоммуникационной связи –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25.07.2024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декларации – 25.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04.2024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, то есть  документ представлен с нарушением граничного срока предоставления.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неполном объеме или в искаженном виде, за исключением случаев, предусмотренных частью 2 настоящей статьи.</w:t>
      </w:r>
    </w:p>
    <w:p w:rsidR="007779B0" w:rsidRPr="007779B0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лиц,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юридического лица является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>Яхяев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 А.И.</w:t>
      </w:r>
    </w:p>
    <w:p w:rsidR="007779B0" w:rsidRPr="007779B0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>Яхяева А.И.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ств мировому судье не представлено.</w:t>
      </w:r>
    </w:p>
    <w:p w:rsidR="00F06AD4" w:rsidRPr="00F06AD4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>Яхяев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 xml:space="preserve"> А.И.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протоколом об административном правонарушении </w:t>
      </w:r>
      <w:r w:rsidRPr="00D15EDD" w:rsidR="00D0694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, копией квитанции о приеме налоговой декларации (расчета) в эл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ектронном виде, сведениями  из ЕГРЮЛ.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>Яхяев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 xml:space="preserve"> А.И.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в совершении вмененного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>Яхяева А.И.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 1 ст. 15.6 Кодекса Российской Федерации об админист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ративных правонарушениях, а именно: не представил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Согласно п. 1 ст. 4.5 Кодекса Р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 xml:space="preserve">Яхяевой А.И.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ушены не были.</w:t>
      </w:r>
    </w:p>
    <w:p w:rsid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AE1575" w:rsidRPr="00AE1575" w:rsidP="004F06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ответственность 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>Яхяев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 xml:space="preserve"> А.И.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, по делу не установлено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на момент совершения вмененного правонарушения) к административной ответственности не привлекалась (иные данные в материалах дела отсутствуют), отсутствие обстоятельств, отягчающих и смягчающих ответственность, то обстоятельство, что допущенные ею нарушени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A63859" w:rsidR="00A63859">
        <w:rPr>
          <w:rFonts w:ascii="Times New Roman" w:eastAsia="Times New Roman" w:hAnsi="Times New Roman" w:cs="Times New Roman"/>
          <w:sz w:val="27"/>
          <w:szCs w:val="27"/>
        </w:rPr>
        <w:t>Яхяевой А.И.</w:t>
      </w:r>
      <w:r w:rsidR="00A638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вных правонарушениях. 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4F065E" w:rsidRPr="004F065E" w:rsidP="00A63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63859">
        <w:rPr>
          <w:rFonts w:ascii="Times New Roman" w:eastAsia="Times New Roman" w:hAnsi="Times New Roman" w:cs="Times New Roman"/>
          <w:sz w:val="27"/>
          <w:szCs w:val="27"/>
        </w:rPr>
        <w:t>Яхяев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A63859">
        <w:rPr>
          <w:rFonts w:ascii="Times New Roman" w:eastAsia="Times New Roman" w:hAnsi="Times New Roman" w:cs="Times New Roman"/>
          <w:sz w:val="27"/>
          <w:szCs w:val="27"/>
        </w:rPr>
        <w:t xml:space="preserve"> Айше Илмиевн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A638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виновной в совершении административного правонарушения,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предусмотренного ч.1 ст.15.6 Кодекса Российской Федерации об административных правонарушениях, и назначить ей наказание в виде штрафа в размере 300 рублей.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ное наказание заменить на предупреждение.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Мировой судья:                                                                А.Л. Тоскина</w:t>
      </w:r>
    </w:p>
    <w:p w:rsidR="002C5A43" w:rsidRPr="00A763F9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7"/>
          <w:szCs w:val="27"/>
        </w:rPr>
      </w:pPr>
    </w:p>
    <w:sectPr w:rsidSect="00A763F9">
      <w:footerReference w:type="default" r:id="rId4"/>
      <w:pgSz w:w="11906" w:h="16838"/>
      <w:pgMar w:top="567" w:right="707" w:bottom="709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A3"/>
    <w:rsid w:val="000302EF"/>
    <w:rsid w:val="0003269C"/>
    <w:rsid w:val="0005143C"/>
    <w:rsid w:val="000705C7"/>
    <w:rsid w:val="000A4DA3"/>
    <w:rsid w:val="00213211"/>
    <w:rsid w:val="002C5A43"/>
    <w:rsid w:val="002D7504"/>
    <w:rsid w:val="00326552"/>
    <w:rsid w:val="0047084E"/>
    <w:rsid w:val="004F065E"/>
    <w:rsid w:val="006810E1"/>
    <w:rsid w:val="00742292"/>
    <w:rsid w:val="00753C27"/>
    <w:rsid w:val="007779B0"/>
    <w:rsid w:val="00782D2F"/>
    <w:rsid w:val="008568E4"/>
    <w:rsid w:val="00883247"/>
    <w:rsid w:val="008B11DC"/>
    <w:rsid w:val="008F03F5"/>
    <w:rsid w:val="00913580"/>
    <w:rsid w:val="0096383B"/>
    <w:rsid w:val="009946C5"/>
    <w:rsid w:val="009F0F1D"/>
    <w:rsid w:val="00A63859"/>
    <w:rsid w:val="00A763F9"/>
    <w:rsid w:val="00AE1575"/>
    <w:rsid w:val="00BB06F7"/>
    <w:rsid w:val="00C545F8"/>
    <w:rsid w:val="00C848CF"/>
    <w:rsid w:val="00D06944"/>
    <w:rsid w:val="00D15EDD"/>
    <w:rsid w:val="00E24B41"/>
    <w:rsid w:val="00F06AD4"/>
    <w:rsid w:val="00F3235C"/>
    <w:rsid w:val="00FC1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A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A4DA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0A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A4DA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83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