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</w:t>
      </w:r>
      <w:r w:rsidR="006F3C4F">
        <w:rPr>
          <w:sz w:val="26"/>
          <w:szCs w:val="26"/>
        </w:rPr>
        <w:t>33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 июл</w:t>
      </w:r>
      <w:r w:rsidR="00D46F73">
        <w:rPr>
          <w:sz w:val="26"/>
          <w:szCs w:val="26"/>
        </w:rPr>
        <w:t>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F3C4F" w:rsidR="006F3C4F">
        <w:rPr>
          <w:rFonts w:ascii="Times New Roman" w:hAnsi="Times New Roman" w:cs="Times New Roman"/>
          <w:sz w:val="26"/>
          <w:szCs w:val="26"/>
        </w:rPr>
        <w:t>за полугодие 2024 года – 25 июля 2024 года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</w:t>
      </w:r>
      <w:r w:rsidRPr="006F3C4F" w:rsidR="006F3C4F">
        <w:rPr>
          <w:rFonts w:ascii="Times New Roman" w:hAnsi="Times New Roman" w:cs="Times New Roman"/>
          <w:sz w:val="26"/>
          <w:szCs w:val="26"/>
        </w:rPr>
        <w:t>за полугодие 2024 года – 25 июля 2024 года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6F3C4F" w:rsidR="006F3C4F">
        <w:rPr>
          <w:rFonts w:ascii="Times New Roman" w:hAnsi="Times New Roman" w:cs="Times New Roman"/>
          <w:sz w:val="26"/>
          <w:szCs w:val="26"/>
        </w:rPr>
        <w:t>за полугодие 2024 года – 25 июля 2024 года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представленный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 Протокол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C5105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Руководствуясь</w:t>
      </w:r>
      <w:r w:rsidRPr="00C5105B">
        <w:rPr>
          <w:rFonts w:ascii="Times New Roman" w:hAnsi="Times New Roman" w:cs="Times New Roman"/>
          <w:sz w:val="26"/>
          <w:szCs w:val="26"/>
        </w:rPr>
        <w:t xml:space="preserve"> .</w:t>
      </w:r>
      <w:r w:rsidRPr="00C5105B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 xml:space="preserve">в </w:t>
      </w:r>
      <w:r w:rsidRPr="00C5105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300 (триста) рублей.  </w:t>
      </w:r>
    </w:p>
    <w:p w:rsid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sz w:val="26"/>
          <w:szCs w:val="26"/>
        </w:rPr>
        <w:t xml:space="preserve"> – «данные изъяты»</w:t>
      </w: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5105B" w:rsidRPr="00C5105B" w:rsidP="00C5105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C5105B" w:rsidRPr="00C5105B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F64FBA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46F73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9D00-9352-4452-BCDE-05ADD2DF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