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03</w:t>
      </w:r>
      <w:r w:rsidR="004D5B4A">
        <w:rPr>
          <w:sz w:val="26"/>
          <w:szCs w:val="26"/>
        </w:rPr>
        <w:t>45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 w:rsidRPr="004D5B4A">
        <w:rPr>
          <w:sz w:val="26"/>
          <w:szCs w:val="26"/>
        </w:rPr>
        <w:t xml:space="preserve">18 ноября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 квартал 2025,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за 1 квартал  2025 года.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за 1 квартал 2025 года, представленный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им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F64FBA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Руководствуясь</w:t>
      </w:r>
      <w:r w:rsidRPr="00F64FBA">
        <w:rPr>
          <w:rFonts w:ascii="Times New Roman" w:hAnsi="Times New Roman" w:cs="Times New Roman"/>
          <w:sz w:val="26"/>
          <w:szCs w:val="26"/>
        </w:rPr>
        <w:t xml:space="preserve"> .</w:t>
      </w:r>
      <w:r w:rsidRPr="00F64FBA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  <w:r w:rsidRPr="001714E0" w:rsidR="001714E0">
        <w:rPr>
          <w:rFonts w:ascii="Times New Roman" w:hAnsi="Times New Roman" w:cs="Times New Roman"/>
          <w:sz w:val="26"/>
          <w:szCs w:val="26"/>
        </w:rPr>
        <w:t>–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(триста)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F64FBA" w:rsidRPr="00F64FBA" w:rsidP="00F64FB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CC48A9" w:rsidP="00F64FB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F64FBA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D5B4A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E293-7E09-4E65-854A-48221A97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