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w:t>
      </w:r>
      <w:r w:rsidR="00E056AF">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17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2D66-0D48-4CFC-AAE1-902DC8B4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