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044A04">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 xml:space="preserve">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с</w:t>
      </w:r>
      <w:r w:rsidRPr="00EA521E">
        <w:rPr>
          <w:rFonts w:ascii="Times New Roman" w:hAnsi="Times New Roman" w:cs="Times New Roman"/>
          <w:sz w:val="26"/>
          <w:szCs w:val="26"/>
        </w:rPr>
        <w:t>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EA521E">
        <w:rPr>
          <w:rFonts w:ascii="Times New Roman" w:hAnsi="Times New Roman" w:cs="Times New Roman"/>
          <w:sz w:val="26"/>
          <w:szCs w:val="26"/>
        </w:rPr>
        <w:t>,</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44A0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A376-6467-4A3F-9E73-ABEA5D0B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