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ст.20.21  КоАП РФ, в отношении  фио, паспортные данные зарегистрированного и проживающего по адресу: адрес; гражданина РФ; со средним специальным образованием; разведенного; не работающего; инвалида 3 группы, имеющего заболевание эпилепсия; 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гражданин фио в общественном месте по адресу: адрес около дома №1, находился в состоянии опьянения, оскорбляющем человеческое достоинство и общественную нравственность, а именно,  он  кричал на прохожих;  шатался из стороны в сторону, слабо ориентировался в окружающей обстановке; из его полости рта исходил устойчивый запах алкоголя.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составленным в присутствии двух свидетелей;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состояние его здоровья, его имущественное и семейное положение; обстоятельство, смягчающее административную ответственность – признание  вины и раскаяние;  наличие  обстоятельств, отягчающих административную ответственность – повторное в течение одного года совершение однородных административных правонарушений,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1000руб.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18880491170001651840.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