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Дело № 5-22-47/2017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женатого; имеющего несовершеннолетнего ребенка: зарегистрированного и проживающего по адресу: адрес; ранее не привлекавшегося к административной ответственности, </w:t>
      </w:r>
    </w:p>
    <w:p w:rsidR="00A77B3E">
      <w:r>
        <w:t>У С Т А Н О В И Л:</w:t>
      </w:r>
    </w:p>
    <w:p w:rsidR="00A77B3E">
      <w:r>
        <w:t xml:space="preserve">      фио, являясь генеральным директором наименование организации   (далее – наименование организации),  расположенного по адресу:  адрес,  в нарушение п.2 ст.386 НК РФ, согласно которому налоговые расчеты по авансовым платежам по налогу на имущество организаций представляются налогоплательщиками не позднее 30 календарных дней с даты окончания соответствующего отчетного периода, не представил в налоговый орган в срок до дата расчет по авансовым платежам по налогу за имущество организаций за полугодие  дата, фактически представив эти расчеты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При рассмотрении дела  фио  вину в совершении административного правонарушения признал полностью;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 2 ст.386 НК РФ налогоплательщики  обязаны представить налоговые расчеты по авансовым платежам по налогу  на имущество не позднее 30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налогового   расчета  авансовых платежей    по налогу   на имущество организаций  за полугодие дата – дата.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№2815 от  дата, составленным  государственным налоговым инспектором Отдела камеральных проверок №2  Межрайонной  ИФНС №8 по адрес, с которым  фио  был ознакомлен, указав, что  с фактом нарушения согласен; Актом №2382 от дата об обнаружении фактов, свидетельствующих о предусмотренных НК РФ налоговых правонарушениях; выпиской из  ЕГРЮЛ в отношении наименование организации, из которой усматривается, что фио является генеральным директором этой организации;  сведениями  о предоставлении   налоговой декларации (расчете) в электронной форме, из которых следует, что налоговый расчет по авансовому платежу по налогу на имущество организаций за 6 месяцев дата представлен в налоговый орган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и его имущественное положение; обстоятельство, смягчающее административную ответственность – признание вины и раскаяние; совершение административного правонарушения впервые; отсутствие обстоятельств,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паспортные данные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