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5-22-0340/2017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22 Алуштинского судебного района (г.адрес), 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Оказова фио, паспортные данные, УзССР, работающего наименование организации сторожем,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оплатил штраф дата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не доверять которым у суда оснований не имеется.</w:t>
      </w:r>
    </w:p>
    <w:p w:rsidR="00A77B3E">
      <w:r>
        <w:t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Штраф оплачен дата Просрочка оплаты штрафа составила 2 (два) дня.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виновного, но учитывая, что штраф уплачен в полном объеме, данное правонарушение не представляет общественной опасности, на иждивении у фио имеется трое малолетних детей, мировой судья  считает возможным ограничиться устным замечанием о недопущении впредь подобных правонарушений. </w:t>
      </w:r>
    </w:p>
    <w:p w:rsidR="00A77B3E">
      <w:r>
        <w:t xml:space="preserve">        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Прекратить административное производство в отношении Оказова фио, паспортные данные, за совершение административного правонарушения, предусмотренного ст. 20.25 ч.1  КоАП РФ,  объявив ему устное замечание о недопущении подобных правонарушений.</w:t>
      </w:r>
    </w:p>
    <w:p w:rsidR="00A77B3E">
      <w:r>
        <w:t xml:space="preserve"> 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