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w:t>
      </w:r>
    </w:p>
    <w:p w:rsidR="00A77B3E">
      <w:r>
        <w:t xml:space="preserve">                                                                                                                 Дело № 5-22-363/2017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директора наименование организации фио, паспортные данные УССР; гражданина РФ, зарегистрированного и проживающего по адресу: адрес, </w:t>
      </w:r>
    </w:p>
    <w:p w:rsidR="00A77B3E">
      <w:r>
        <w:t>У С Т А Н О В И Л:</w:t>
      </w:r>
    </w:p>
    <w:p w:rsidR="00A77B3E">
      <w:r>
        <w:t xml:space="preserve">        фио, являясь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(по этому же адресу находится юридическое лицо ООО «Ленгвич Тайм) по почте заказным письмом с уведомлением была направлена  судебная повестка, которая была возвращена   в  адрес суда  без вручения адресату  в связи с тем, что  фио  ее не получил, истек срок хранения. Дополнительно  фио был извещен  по  указанному в материалах дела номеру мобильного телефона  в режиме телефонограммы.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2991 от дата, составленным  государственным налоговым инспектором Отдела камеральных проверок №2  Межрайонной  ИФНС №8 по адрес, актом проверки №06.1-15/1069 от дата об обнаружении фактов, свидетельствующих о предусмотренных НК РФ налоговых правонарушениях  в отношении наименование организации,  выпиской из ЕГРЮЛ в отношении наименование организации,  из которой усматривается, что  фио является  директором этой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фио не представил суду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налоговых  расчетов;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