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5-23-55/2025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УССР, зарегистрированного по адресу6 адрес; фактически проживающего по адресу: адрес, официально нетрудоустроенного, ранее к административной ответственности не привлекался, гражданин Российской Федерации, паспортные данные,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«Дэу» модель «Ланос» государственный регистрационный знак А696КР92,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фио в ходе судебного заседания вину в совершении административного правонарушения признал в полном объеме, указал, что не выполнил требование уполномоченного должностного лица в части прохождения медицинского освидетельствования в связи с необходимостью явиться на работу. Обстоятельства, изложенные в протоколе об административном правонарушении не оспаривал.</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82АП№243682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82ОТ№063047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«Дэу» модель «Ланос» государственный регистрационный знак А696КР92,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82МО№023141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поведение не соответствующее обстановке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УИН:18810491241500004367.</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