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5-23-56/2025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«Шевроле» модель «Ланос» государственный регистрационный знак Р343ВЕ180,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судебные заседания, назначенные на дата, а также дата фио не явился, о причинах неявки суду не сообщил, при этом о дате, времени и месте рассмотрения протокола об административном  правонарушении в отношении него судом был извещен надлежащим образом, о чем в материалах дела имеются соответствующие доказательства.</w:t>
      </w:r>
    </w:p>
    <w:p w:rsidR="00A77B3E">
      <w:r>
        <w:t xml:space="preserve">На основании изложенного выше, мировой судья пришел к выводу о возможности рассмотреть протокол об административном правонарушении в отсутствие неявившегося фио </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82КР№020776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82ОТ№063075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«Шевроле» модель «Ланос» государственный регистрационный знак Р343ВЕ180,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82МО№023129 от дата о направлении на медицинское освидетельствование на состояние опьянения, при наличии на то законных оснований: признаков опьянения – нарушение речи, резкое изменение окраски кожных покровов лица, поведение не соответствующее обстановке, неустойчивость позы,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УИН:18810491241500004545</w:t>
      </w:r>
    </w:p>
    <w:p w:rsidR="00A77B3E">
      <w:r>
        <w:t>.</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