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ранее привлекался к административной ответственности, паспортные данные, </w:t>
      </w:r>
    </w:p>
    <w:p w:rsidR="00A77B3E">
      <w:r>
        <w:t>УСТАНОВИЛ:</w:t>
      </w:r>
    </w:p>
    <w:p w:rsidR="00A77B3E">
      <w:r>
        <w:t xml:space="preserve">Постановлением №4806 от дата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под расписку.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№252937 от дата,  заверенной копией постановления №4806 от дата, которым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0410760300235000722520103.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