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№5-23-306/2025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адрес</w:t>
      </w:r>
    </w:p>
    <w:p w:rsidR="00A77B3E">
      <w:r>
        <w:t xml:space="preserve">Мировой 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гражданина Российской Федерации,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был выявлен гражданин фио, который имел неустойчивую позу,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копией протокола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</w:t>
      </w:r>
    </w:p>
    <w:p w:rsidR="00A77B3E">
      <w:r>
        <w:t>Вместе с тем, исходя из материалов дела, судом установлено, что фио систематически нарушает общественный порядок, исходя из данных справки на физическое лицо, имеет неоплаченные штрафы, суд квалифицирует как обстоятельства, отягчающие административную ответственность.</w:t>
      </w:r>
    </w:p>
    <w:p w:rsidR="00A77B3E">
      <w:r>
        <w:t>Учитывая изложенное, мировой судья приходит к выводу о необходимости назначить административное наказание в виде административного ареста.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ареста на 7 (семь) суток.</w:t>
      </w:r>
    </w:p>
    <w:p w:rsidR="00A77B3E">
      <w:r>
        <w:t>Срок административного ареста исчислять с дата с время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дней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