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Дело № 5-23-313/2024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 фио;</w:t>
      </w:r>
    </w:p>
    <w:p w:rsidR="00A77B3E">
      <w:r>
        <w:t>рассмотрев протокол об административном правонарушении в отношении директора наименование организации (адрес, АЛУШТА Г.О., АЛУШТА Г., АЛУШТА Г., адрес, ПОМЕЩ. 11, ОГРН: 1149102088277, Дата присвоения ОГРН: дата, ИНН: телефон, КПП: телефон, ДИРЕКТОР: фио) фио фио, паспортные данные октября, 6, квартира 81,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организации, по  адресу: адрес, не представил в налоговый орган расчёт по страховым взносам за первое полугодие дата, предельный срок предоставления которой истек дата. Фактически расчет представлен дата.</w:t>
      </w:r>
    </w:p>
    <w:p w:rsidR="00A77B3E">
      <w:r>
        <w:t>фио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его отсутствие.</w:t>
      </w:r>
    </w:p>
    <w:p w:rsidR="00A77B3E">
      <w:r>
        <w:t>В соответствии с п.7 статьи 431 НК РФ,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лицам, в частности, расчет по страховым взносам - не позднее 25-го числа месяца, следующего за расчетным (отчетным) периодом; Положениями статьи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 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 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директору наименование организации фио фио,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 xml:space="preserve">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