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5-23-342/2024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</w:t>
        <w:tab/>
        <w:t xml:space="preserve">         адрес                                                                                                       </w:t>
      </w:r>
    </w:p>
    <w:p w:rsidR="00A77B3E">
      <w:r>
        <w:t xml:space="preserve"> Мировой судья судебного участка №24 Алуштинского судебного района (г.адрес) адрес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материалы дела об административном правонарушении, в отношении генерального директора наименование организации (адрес, АЛУШТА ГОРОД, адрес, ЛИТЕР А, ОГРН: 1169102063481, Дата присвоения ОГРН: дата, ИНН: телефон, КПП: телефон, ГЕНЕРАЛЬНЫЙ ДИРЕКТОР: фио) фио, паспортные данные, о совершении административного правонарушения,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генеральным директором наименование организации по  адресу: адрес, литера А,  не представил в налоговый орган декларацию по налогу на добавленную стоимость за адрес дата, предельный срок предоставления которой истек дата.  Фактически расчет представлен дата.</w:t>
      </w:r>
    </w:p>
    <w:p w:rsidR="00A77B3E">
      <w:r>
        <w:t xml:space="preserve">Таким образом, декларация по налогу на добавленную стоимость за адрес дата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дата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>генеральному директору наименование организации  фио Андреевича,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 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