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05-23-0399/2017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</w:t>
        <w:tab/>
        <w:tab/>
        <w:tab/>
        <w:t xml:space="preserve">          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наименование организации, паспортные данные,  проживающего по адресу: адрес, о совершении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наименование организации, по адресу: адрес, представил в органы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  в неполном объеме или в искаженном виде.</w:t>
      </w:r>
    </w:p>
    <w:p w:rsidR="00A77B3E">
      <w:r>
        <w:t>фио в судебном заседании пояснил, что первоначально документы в Пенсионный фонд были представлены в установленные сроки. Обнаружив в поданных документах ошибки, были поданы уточненные сведения. Поскольку допущенные ошибки были устранены самостоятельно, считает, что отсутствуют основания для привлечения к административной ответственности.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ЕГРЮЛ, извещением о доставке расчета,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дата по форме СЗВ-М в системе обязательного пенсионного страхования установлен не позднее дата, сведения  представлены своевременно, но с ошибками. Допущенные ошибки были устранены дата, путем подачи уточняющих сведений.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учитывая, что основные сведения за дата были предоставлены в установленные сроки, допущенные ошибки были устранены самостоятельно, данное правонарушение не представляет общественной опасности, ранее фио не совершал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связи с малозначительностью, освободить наименование организации, паспортные данные, от административной ответственности, предусмотренной ст.15.33.2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