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5-24-70/2025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адрес</w:t>
      </w:r>
    </w:p>
    <w:p w:rsidR="00A77B3E">
      <w:r>
        <w:t>Мировой судья судебного участка ...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данныеадрес, паспортные данные, работающей генеральным директором наименование организации (адрес местонахождения: адрес, адрес), проживающей по адресу: адрес,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генеральным директором наименование организации (адрес местонахождения: адрес, адрес), дата подала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1 полугодие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1 полугодие дата в форме электронного документа – дата.</w:t>
      </w:r>
    </w:p>
    <w:p w:rsidR="00A77B3E">
      <w:r>
        <w:t xml:space="preserve">В судебном заседании фио, которой разъяснены права, предусмотренные ст. 25.1 Кодекса РФ об АП и ст. 51 Конституции РФ, свою вину признала, в содеянном раскаялась. Просил суд строго не наказывать.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4); формой ЕФС – 1 (л.д. 6); скриншотом о получении единой формы ЕФС -1 (л.д. 9); выпиской из Единого государственного реестра юридических лиц согласно которой, фио является генеральным директором юридического лица (л.д. 11-12).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 суд признает признание вины и раскаяние в содеянном. Обстоятельств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79791071301250000187.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