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5-...-121/2025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 xml:space="preserve"> 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зарегистрированного и проживающего по адресу: адрес, 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адрес с Херсонской областью-...», водитель фио, управляя транспортным средством марки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 xml:space="preserve">В судебном заседании установлено, что дата в время на адрес с Херсонской областью-...», водитель фио, управляя транспортным средством марки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 от дата, в котором указано место, время, состав правонарушения (л.д. 1); карточкой операции с ВУ (л.д. 4); компакт-диском с видеозаписью фиксации правонарушения (л.д. 2);  результатами поиска правонарушений (л.д. 5).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 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18810491251500001693.</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