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5-24-135/2025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данные... гражданина ...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фио. в предусмотренный КоАП РФ срок не уплатил штраф в размере сумма, назначенный постановлением должностного лица ... Госавтоинспекции МВД по адрес ... от дата, вступившим в законную силу дата, за совершение административного правонарушения, предусмотренного ст. 12.6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судебное заседание фио которому разъяснены права, предусмотренные 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>В судебном заседании установлено, что на основании постановления по делу об административном правонарушении от дата фио был признан виновным в совершении административного правонарушения, ответственность за которое предусмотрена ст. 12.6 КоАП РФ, с назначением наказания в виде административного штрафа в размере сумма. В установленном законом порядке постановление не обжаловалось, вступило в законную силу дата.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... от дата (л.д. 1); копией постановления о назначении административного наказания от дата, которым фио, был привлечен к административной ответственности по ст. 12.6 КоАП РФ, ему назначено административное наказание в виде административного штрафа в сумме сумма (л.д.2-3); копией вида на жительство на имя фио (л.д. 5); сведениями об уплате штрафа (л.д. 4); копией водительского удостоверения на имя фио (л.д. 6); результатами поиска правонарушений (л.д. 8-9).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                     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0410760300245001352520124.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