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5-24-138/2025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и проживающего по адресу: адрес, </w:t>
      </w:r>
    </w:p>
    <w:p w:rsidR="00A77B3E"/>
    <w:p w:rsidR="00A77B3E">
      <w:r>
        <w:t xml:space="preserve">                                                             УСТАНОВИЛ:</w:t>
      </w:r>
    </w:p>
    <w:p w:rsidR="00A77B3E">
      <w:r>
        <w:tab/>
        <w:t xml:space="preserve">дата в время на адрес с ... областью-...а», водитель фио, управляя транспортным средством – автомобилем марки марка автомобиля, государственный регистрационный знак ... выехал на полосу дороги, предназначенную для встречного движения в нарушение требований горизонтальной дорожной разметки 1.1 ПДД РФ, разделяющей транспортные потоки противоположных направлений, в зоне действия дорожного знака 3.20 "Обгон запрещен".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Просил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 от дата (л.д.1);</w:t>
      </w:r>
    </w:p>
    <w:p w:rsidR="00A77B3E">
      <w:r>
        <w:t>- копией постановления по делу об административном правонарушении                            № ... от дата (л.д. 4);</w:t>
      </w:r>
    </w:p>
    <w:p w:rsidR="00A77B3E">
      <w:r>
        <w:t>- сведениями об оплате штрафа в «ГИС ГМП» (л.д. 3);</w:t>
      </w:r>
    </w:p>
    <w:p w:rsidR="00A77B3E">
      <w:r>
        <w:t xml:space="preserve">- карточкой операции с ВУ (л.д. 6); </w:t>
      </w:r>
    </w:p>
    <w:p w:rsidR="00A77B3E">
      <w:r>
        <w:t>- результатами поиска правонарушений (л.д. 7).</w:t>
      </w:r>
    </w:p>
    <w:p w:rsidR="00A77B3E">
      <w:r>
        <w:t>- диском с видеозаписью обстоятельств совершения правонарушения (л.д.4).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 смягчающих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привлекалась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фио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ОГИБДД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