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05-0199-24/2017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 ..., паспортные данные, не работающего, женатого,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по адресу: адрес, осуществлял предпринимательскую деятельность, связанную с реализацией продуктов питания, без государственной регистрации в качестве индивидуального предпринимателя, чем нарушил требования Федерального закона от дата № 129-ФЗ "О государственной регистрации юридических лиц и индивидуальных предпринимателей", то есть совершил административное правонарушение, предусмотренное ч. 1 ст. 14.1 КоАП РФ.</w:t>
      </w:r>
    </w:p>
    <w:p w:rsidR="00A77B3E">
      <w:r>
        <w:t xml:space="preserve">фио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данные, свидетельствующие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его отсутствие.          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юридических лиц при их создании, реорганизации и ликвидации, при внесении изменений в их учредительные документы,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- единого государственного реестра юридических лиц и единого государственного реестра индивидуальных предпринимателей, -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 xml:space="preserve">Исследовав представленные материалы дела, полагаю,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РК-телефон от дата, из которого следует, что фио дата в время по адресу: адрес, осуществлял предпринимательскую деятельность, связанную с реализацией продуктов питания, без государственной регистрации в качестве индивидуального предпринимателя (л.д. 2).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письменным объяснением фио, из которого следует, что он осуществлял предпринимательскую деятельность, связанную с реализацией продуктов питания, без государственной регистрации в качестве индивидуального предпринимателя (л.д. 4);</w:t>
      </w:r>
    </w:p>
    <w:p w:rsidR="00A77B3E">
      <w:r>
        <w:t>- рапортами сотрудников полиции о выявлении факта совершенного правонарушения (л.д. 9, 10).</w:t>
      </w:r>
    </w:p>
    <w:p w:rsidR="00A77B3E">
      <w:r>
        <w:t>Сведений о государственной регистрации фио в качестве индивидуального предпринимателя не имеется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Как установлено материалами данного дела, фио в качестве индивидуального предпринимателя в установленном законом порядке не зарегистрирован.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...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идентификатор - 18880491170001653967, получатель платежа - УФК (Отдел Министерства внутренних дел по адрес), КПП телефон; ИНН телефон; Код ОКТМО телефон; номер счета получателя - 40101810335100010001 в Отделении по адрес ЦБ РФ; БИК телефон; код бюджетной классификации КБК 18811690020026000140, наименование платежа – штраф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