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5-24-246/2025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 штраф в размере сумма, назначенный постановлением должностного лица ИАЗ ЦАФАП Госавтоинспекции МВД по адрес 1...4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в отсутствие последнего.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82 АП № 294019 от дата (л.д. 1); копией постановления о назначении административного наказания от дата, которым фио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(л.д.3); копией паспорта на имя фио (л.д. 5-6);  сведениями об отслеживания почтового отправления (л.д. 3); результатами поиска правонарушений (л.д. 7).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фио.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0410760300245002462520154.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