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</w:r>
    </w:p>
    <w:p w:rsidR="00A77B3E">
      <w:r>
        <w:t xml:space="preserve">    Дело № 05-0267-24/2017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 xml:space="preserve">фио, паспортные данные, проживающей по адресу: адрес, 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(дополняющие) были предоставлены в орган пенсионного фонда с нарушением срока, а именно дата.</w:t>
      </w:r>
    </w:p>
    <w:p w:rsidR="00A77B3E">
      <w:r>
        <w:t xml:space="preserve">          фио к мировому судье для участия в рассмотрении дела не явилась, о времени и месте рассмотрения дела об административном правонарушении была уведомлена заблаговременно, надлежащим образом. Ходатайства об отложении рассмотрении дела не поступало.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имеются предусмотренные законом основания для рассмотрения дела в ее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000050 от дата, составленным уполномоченным лицом в соответствии с требованиями КоАП РФ (л.д. 1); выпиской из Единого государственного реестра индивидуальных предпринимателей, согласно которой в реестр внесена запись о приобретении фио статуса индивидуального предпринимателя (л.д. 2-3); уведомлением о доставке в УПФР адрес сведений по форме СЗВ-М дата (л.д. 4).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наименование организации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