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</w:t>
      </w:r>
    </w:p>
    <w:p w:rsidR="00A77B3E">
      <w:r>
        <w:t xml:space="preserve">   Дело № 05-0269-24/2017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 xml:space="preserve">дата         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 с участием должностного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индивидуального предпринимателя -</w:t>
      </w:r>
    </w:p>
    <w:p w:rsidR="00A77B3E">
      <w:r>
        <w:t>фио, паспортные данные, проживающей по адресу: адрес,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(дополняющие)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 в суде виновной себя в совершении правонарушения полностью признала.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000051 от дата, составленным уполномоченным должностным лицом в соответствии с требованиями КоАП РФ (л.д. 1); выпиской из Единого государственного реестра индивидуальных предпринимателей, содержащей сведения об наименование организации (л.д. 2-3); извещением о доставке в УПФР адрес сведений по форме СЗВ-М дата (л.д. 4).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возможным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>Срок привлечения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наименование организации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