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5-24-292/2025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 гражданки РФ; зарегистрированной и проживающей по адресу: адрес, </w:t>
      </w:r>
    </w:p>
    <w:p w:rsidR="00A77B3E">
      <w:r>
        <w:t>УСТАНОВИЛ:</w:t>
      </w:r>
    </w:p>
    <w:p w:rsidR="00A77B3E">
      <w:r>
        <w:t>дата в время на ... м адрес с ... областью-...»,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выехала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нарушила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которой разъяснены права, предусмотренные ст. 25.1 Кодекса РФ об АП и ст. 51 Конституции РФ, вину признала. Просила назначить ей наказание в виде штрафа.</w:t>
      </w:r>
    </w:p>
    <w:p w:rsidR="00A77B3E">
      <w:r>
        <w:t>Выслушав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xml:space="preserve">    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обязана знать данные требования ПДД РФ и соблюдать.</w:t>
      </w:r>
    </w:p>
    <w:p w:rsidR="00A77B3E">
      <w:r>
        <w:t xml:space="preserve"> 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 протоколом об административном правонарушении серии ... от дата (л.д. 1);</w:t>
      </w:r>
    </w:p>
    <w:p w:rsidR="00A77B3E">
      <w:r>
        <w:t xml:space="preserve">- сведениями об отправке фотоматериалов (л.д. 3); </w:t>
      </w:r>
    </w:p>
    <w:p w:rsidR="00A77B3E">
      <w:r>
        <w:t>- диском с видеозаписью обстоятельств совершения правонарушения (л.д.9);</w:t>
      </w:r>
    </w:p>
    <w:p w:rsidR="00A77B3E">
      <w:r>
        <w:t>- копией постановления по делу об административном правонарушении                           от дата (л.д. 4);</w:t>
      </w:r>
    </w:p>
    <w:p w:rsidR="00A77B3E">
      <w:r>
        <w:t xml:space="preserve">- карточкой операции с ВУ (л.д. 5); </w:t>
      </w:r>
    </w:p>
    <w:p w:rsidR="00A77B3E">
      <w:r>
        <w:t>- результатами поиска правонарушений (л.д. 6-8).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по делу об административном правонарушении ... от дата фио была привлечена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ее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является признание вины и раскаяние в совершении правонарушения.</w:t>
      </w:r>
    </w:p>
    <w:p w:rsidR="00A77B3E">
      <w:r>
        <w:t>Обстоятельств,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ей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виновной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 наименование платежа – ...</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