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5-24-370/2025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фио, паспортные данные; гражданина России; ... зарегистрированного и проживающего  по адресу: адрес,</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инспектором ДПС Госавтоинспекции ОМВД России по адрес вблизи въезда в адрес адрес был остановлен автомобиль - марки марка автомобиля ...»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назначить ему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 от дата, составленным уполномоченным должностным лицом с соблюдением процессуальных требований (л.д. 2); листом ознакомления с правами (л.д. 3); копией паспорта на имя фио (л.д. 4-5); копией страхового полиса (л.д. 6-7); копией свидетельства о регистрации транспортного средства   (л.д. 8); рапортом помощника ОД ДЧ ОМВД России по адрес от дата о поступлении в дежурную часть ОМВД России по адрес сообщения по факту  выявлении факта совершения фио правонарушения, предусмотренного ст. 14.1 КоАП РФ; письменными объяснениями фио (л.д. 11); протоколом изъятия вещей и документов серии ... от дата с приложением фототаблицы (л.д. 12-13);  справкой на физическое лицо (л.д. 14).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 а также наличие на иждивении одного малолетнего ребенка.</w:t>
      </w:r>
    </w:p>
    <w:p w:rsidR="00A77B3E">
      <w:r>
        <w:t>Отягчающих административную ответственность обстоятельств, предусмотренных             ст. 4.3 КоАП РФ,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наличие смягчающих, а также отсутствие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27.10, 29.9, 29.10, 29.11, 32.2, КоАП РФ, мировой судья</w:t>
      </w:r>
    </w:p>
    <w:p w:rsidR="00A77B3E">
      <w:r>
        <w:t>ПОСТАНОВИЛ:</w:t>
      </w:r>
    </w:p>
    <w:p w:rsidR="00A77B3E"/>
    <w:p w:rsidR="00A77B3E">
      <w:r>
        <w:t xml:space="preserve">Признать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0410760300245001372414174, код бюджетной классификации КБК телефон телефон, УИН 0410760300245003702514103, назначение платежа: «штраф по делу об административном правонарушении № 5-24-370/2025.</w:t>
      </w:r>
    </w:p>
    <w:p w:rsidR="00A77B3E">
      <w:r>
        <w:t>Транспортное средство – автомобиль марка автомобиля ...» с государственным регистрационным знаком ..., изъятое протоколом изъятия вещей и документов серии ... от дата - возвратить законному владельцу при предъявлении настоящего постановления.</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