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МАДИ № ... от дата, вступившим в законную силу дата, за совершение административного правонарушения, предусмотренного ч. 1 ст. 11.14.1 КоАП РФ, то есть совершила административное правонарушение, предусмотренное  ч. 1            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за совершение административного правонарушения, предусмотренного ч. 1 ст. 11.14.1 КоАП РФ, ей назначено административное наказание в виде административного штрафа в сумме сумма (л.д. 3); сведениями об отслеживания почтового отправления (л.д. 5); извещением о составлении протокола (л.д. 5); карточкой нарушения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полагая,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0410760300245004722520107, «Назначение платежа: «штраф по делу об административном правонарушении по постановлению № ...».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