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5-24-515/2025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адрес</w:t>
      </w:r>
    </w:p>
    <w:p w:rsidR="00A77B3E"/>
    <w:p w:rsidR="00A77B3E">
      <w:r>
        <w:t xml:space="preserve">И.адрес судьи судебного участка ... ... судебного района (городской адрес)  адрес, Мировой судья судебного участка ... ... судебного района (городской адрес)  адрес                  фио, </w:t>
      </w:r>
    </w:p>
    <w:p w:rsidR="00A77B3E">
      <w:r>
        <w:t>рассмотрев дело об административном правонарушении, поступившее из фио ДПС Госавтоинспекции ОМВД России по адрес в отношении,</w:t>
      </w:r>
    </w:p>
    <w:p w:rsidR="00A77B3E">
      <w:r>
        <w:t xml:space="preserve">фио, паспортные данные,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... должностного лица – инспектора ДПС фио МВД России ... за совершение административного правонарушения, предусмотренного ч. 2             ст. 12.37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ст. 12.37 КоАП РФ и ему назначено административное наказание в виде административного штрафа в сумме сумма; справкой ГИС ГМП о неуплате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... ...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0410760300245005152520106, назначение платежа «Дело № 5-24-515/2025».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