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A4903">
      <w:pPr>
        <w:jc w:val="both"/>
      </w:pPr>
    </w:p>
    <w:p w:rsidR="00A77B3E" w:rsidP="008A4903"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5-25-272/2017</w:t>
      </w:r>
    </w:p>
    <w:p w:rsidR="00A77B3E" w:rsidP="008A4903">
      <w:pPr>
        <w:jc w:val="both"/>
      </w:pPr>
    </w:p>
    <w:p w:rsidR="00A77B3E" w:rsidP="008A4903">
      <w:pPr>
        <w:jc w:val="center"/>
      </w:pPr>
      <w:r>
        <w:t>П О С Т А Н О В Л Е Н И Е</w:t>
      </w:r>
    </w:p>
    <w:p w:rsidR="00A77B3E" w:rsidP="008A4903">
      <w:pPr>
        <w:jc w:val="center"/>
      </w:pPr>
      <w:r>
        <w:t>по делу об административном правонарушении</w:t>
      </w:r>
    </w:p>
    <w:p w:rsidR="00A77B3E" w:rsidP="008A4903">
      <w:pPr>
        <w:jc w:val="both"/>
      </w:pPr>
      <w:r>
        <w:tab/>
      </w:r>
    </w:p>
    <w:p w:rsidR="00A77B3E" w:rsidP="008A4903">
      <w:pPr>
        <w:jc w:val="both"/>
      </w:pPr>
      <w:r>
        <w:t xml:space="preserve">02 августа 2017 года                                        </w:t>
      </w:r>
      <w:r>
        <w:t xml:space="preserve">                                                  </w:t>
      </w:r>
      <w:r>
        <w:t>г</w:t>
      </w:r>
      <w:r>
        <w:t>. Армянск</w:t>
      </w:r>
    </w:p>
    <w:p w:rsidR="00A77B3E" w:rsidP="008A4903">
      <w:pPr>
        <w:jc w:val="both"/>
      </w:pPr>
    </w:p>
    <w:p w:rsidR="00A77B3E" w:rsidP="008A4903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</w:t>
      </w:r>
      <w:r>
        <w:t xml:space="preserve">12, Республика Крым, г. Армянск,                           </w:t>
      </w:r>
      <w:r>
        <w:t xml:space="preserve">ул. Симферопольская, </w:t>
      </w:r>
      <w:r>
        <w:t xml:space="preserve">д. 1, рассмотрев дело об административном правонарушении по ч. 1 ст. 12.34 Кодекса Российской Федерации об административных правонарушениях в отношении </w:t>
      </w:r>
      <w:r>
        <w:t>Аветисян</w:t>
      </w:r>
      <w:r>
        <w:t xml:space="preserve"> Александра </w:t>
      </w:r>
      <w:r>
        <w:t>Омеросовича</w:t>
      </w:r>
      <w:r>
        <w:t>, персональные данные</w:t>
      </w:r>
      <w:r>
        <w:t>,</w:t>
      </w:r>
    </w:p>
    <w:p w:rsidR="00A77B3E" w:rsidP="008A4903">
      <w:pPr>
        <w:jc w:val="both"/>
      </w:pPr>
    </w:p>
    <w:p w:rsidR="00A77B3E" w:rsidP="008A4903">
      <w:pPr>
        <w:jc w:val="center"/>
      </w:pPr>
      <w:r>
        <w:t>УСТАНОВИЛ:</w:t>
      </w:r>
    </w:p>
    <w:p w:rsidR="00A77B3E" w:rsidP="008A4903">
      <w:pPr>
        <w:jc w:val="both"/>
      </w:pPr>
    </w:p>
    <w:p w:rsidR="00A77B3E" w:rsidP="008A4903">
      <w:pPr>
        <w:jc w:val="both"/>
      </w:pPr>
      <w:r>
        <w:t>Аветисян</w:t>
      </w:r>
      <w:r>
        <w:t xml:space="preserve"> А.О., являясь должностным лицом, генеральным директором  наименование организации, дата</w:t>
      </w:r>
      <w:r>
        <w:t xml:space="preserve"> в 08 час. 45 мин. в черте адрес по адрес перекресток адрес, перекресток с а/</w:t>
      </w:r>
      <w:r>
        <w:t>д</w:t>
      </w:r>
      <w:r>
        <w:t xml:space="preserve"> Граница с </w:t>
      </w:r>
      <w:r>
        <w:t>Украиной-Джанкой-Феодосия-Керчь</w:t>
      </w:r>
      <w:r>
        <w:t xml:space="preserve"> при проведении работ по ямочному ремонту асфальтобетонного покрытия дорожного полотна в нарушении п.п. </w:t>
      </w:r>
      <w:r>
        <w:t>4.1.1, 4.1.3, 4.1.4</w:t>
      </w:r>
      <w:r>
        <w:t>, 4.1.5, 4.2.1, 4.2.2, 4.2.3, 4.2.4  ОДМ 218.6.019-2016 не выполнил требования по обеспечению</w:t>
      </w:r>
      <w:r>
        <w:t xml:space="preserve"> безопасности дорожного движения, что создало угрозу безопасности дорожного движения, т.е. совершил административное правонарушение, предусмотренное ст. 12.34. ч.1</w:t>
      </w:r>
      <w:r>
        <w:t xml:space="preserve"> Кодекса Российской Федерации об административных правонарушениях. </w:t>
      </w:r>
    </w:p>
    <w:p w:rsidR="00A77B3E" w:rsidP="008A4903">
      <w:pPr>
        <w:jc w:val="both"/>
      </w:pPr>
      <w:r>
        <w:tab/>
      </w:r>
      <w:r>
        <w:t>Аветисян</w:t>
      </w:r>
      <w:r>
        <w:t xml:space="preserve"> А.О. в судебном заседании свою вину в совершенном правонарушении признал в полном объеме и пояснил, что при проведении работ по ямочному ремонту асфальтобетонного покрытия дорожн</w:t>
      </w:r>
      <w:r>
        <w:t>ого полотна не успел выставить до конца временные дорожные знаки.</w:t>
      </w:r>
    </w:p>
    <w:p w:rsidR="00A77B3E" w:rsidP="008A4903">
      <w:pPr>
        <w:jc w:val="both"/>
      </w:pPr>
      <w:r>
        <w:t xml:space="preserve"> Выслушав объяснения </w:t>
      </w:r>
      <w:r>
        <w:t>Аветисян</w:t>
      </w:r>
      <w:r>
        <w:t xml:space="preserve"> А.О., изучив материалы дела об административном правонарушении, суд приходит к следующим выводам.</w:t>
      </w:r>
    </w:p>
    <w:p w:rsidR="00A77B3E" w:rsidP="008A4903">
      <w:pPr>
        <w:jc w:val="both"/>
      </w:pPr>
      <w:r>
        <w:t>Часть 1 статьи  12.34 Кодекса Российской Федерации об админист</w:t>
      </w:r>
      <w:r>
        <w:t>ративных правонарушениях предусматривает ответственность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</w:t>
      </w:r>
      <w:r>
        <w:t>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</w:t>
      </w:r>
      <w:r>
        <w:t>ного движения, и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</w:t>
      </w:r>
      <w:r>
        <w:t xml:space="preserve"> тысяч до трехсот тысяч рублей.</w:t>
      </w:r>
    </w:p>
    <w:p w:rsidR="00A77B3E" w:rsidP="008A4903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</w:t>
      </w:r>
      <w:r>
        <w:t>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</w:t>
      </w:r>
      <w:r>
        <w:t>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</w:t>
      </w:r>
      <w:r>
        <w:t>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8A4903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 xml:space="preserve">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8A4903">
      <w:pPr>
        <w:jc w:val="both"/>
      </w:pPr>
      <w:r>
        <w:t xml:space="preserve">Факт совершения </w:t>
      </w:r>
      <w:r>
        <w:t>Ав</w:t>
      </w:r>
      <w:r>
        <w:t>етисян</w:t>
      </w:r>
      <w:r>
        <w:t xml:space="preserve"> А.О. административного правонарушения, предусмотренного ч.1 ст. 12.34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</w:t>
      </w:r>
      <w:r>
        <w:t>в, достоверность и допустимость которых сомнений не вызывает, а именно: протоколом об административном правонарушении от дата</w:t>
      </w:r>
      <w:r>
        <w:t xml:space="preserve"> № 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>, в котором зафиксировано место, время совершения административного правонарушения;</w:t>
      </w:r>
      <w:r>
        <w:t xml:space="preserve"> </w:t>
      </w:r>
      <w:r>
        <w:t xml:space="preserve">определением № </w:t>
      </w:r>
      <w:r>
        <w:t>хх</w:t>
      </w:r>
      <w:r>
        <w:t>/</w:t>
      </w:r>
      <w:r>
        <w:t>х</w:t>
      </w:r>
      <w:r>
        <w:t>-хххх</w:t>
      </w:r>
      <w:r>
        <w:t xml:space="preserve"> от дата</w:t>
      </w:r>
      <w:r>
        <w:t xml:space="preserve"> о проведении административного расследования; актом № </w:t>
      </w:r>
      <w:r>
        <w:t>хх</w:t>
      </w:r>
      <w:r>
        <w:t xml:space="preserve"> от дата</w:t>
      </w:r>
      <w:r>
        <w:t xml:space="preserve"> выявленных недостатков в эксплуатационном состоянии автомобильной дороги (улицы), железнодорожного переезда с </w:t>
      </w:r>
      <w:r>
        <w:t>фототаблицей</w:t>
      </w:r>
      <w:r>
        <w:t>; копией контракта на выполнение работ по я</w:t>
      </w:r>
      <w:r>
        <w:t xml:space="preserve">мочному ремонту асфальтобетонного покрытия дорожного полотна; копией Устава наименование организации; копией приказа о возложении обязанностей генерального директора на </w:t>
      </w:r>
      <w:r>
        <w:t>Аветисян</w:t>
      </w:r>
      <w:r>
        <w:t xml:space="preserve"> А.О. от дата</w:t>
      </w:r>
      <w:r>
        <w:t>;</w:t>
      </w:r>
      <w:r>
        <w:t xml:space="preserve"> копией свидетельства о государственной регистрации юрид</w:t>
      </w:r>
      <w:r>
        <w:t>ического лица наименование организации; копией свидетельства о постановке на учет наименование организации в налоговом органе.</w:t>
      </w:r>
    </w:p>
    <w:p w:rsidR="00A77B3E" w:rsidP="008A4903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</w:t>
      </w:r>
      <w:r>
        <w:t xml:space="preserve"> для разрешения рассматриваемого дела об административном правонарушении, прихожу к выводу о том, что вина </w:t>
      </w:r>
      <w:r>
        <w:t>Аветисян</w:t>
      </w:r>
      <w:r>
        <w:t xml:space="preserve"> А.О. в совершении административного правонарушения, предусмотренного ч.1 ст. 12.34 </w:t>
      </w:r>
      <w:r>
        <w:t>Кодекса Российской Федерации об административных правона</w:t>
      </w:r>
      <w:r>
        <w:t>рушениях нашла свое подтверждение в ходе судебного заседания.</w:t>
      </w:r>
    </w:p>
    <w:p w:rsidR="00A77B3E" w:rsidP="008A4903">
      <w:pPr>
        <w:jc w:val="both"/>
      </w:pPr>
      <w:r>
        <w:t xml:space="preserve">Действия </w:t>
      </w:r>
      <w:r>
        <w:t>Аветисян</w:t>
      </w:r>
      <w:r>
        <w:t xml:space="preserve"> А.О. суд квалифицирует по ч.1 ст. 12.34  Кодекса Российской Федерации об административных правонарушениях как несоблюдение требований по обеспечению безопасности дорожного движ</w:t>
      </w:r>
      <w:r>
        <w:t>ения при ремонте и содержании дорог.</w:t>
      </w:r>
    </w:p>
    <w:p w:rsidR="00A77B3E" w:rsidP="008A4903">
      <w:pPr>
        <w:jc w:val="both"/>
      </w:pPr>
      <w:r>
        <w:t>В соответствии с п. 6 ст. 3 Федерального закона от 08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</w:t>
      </w:r>
      <w:r>
        <w:t>ой Федерации»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A77B3E" w:rsidP="008A4903">
      <w:pPr>
        <w:jc w:val="both"/>
      </w:pPr>
      <w:r>
        <w:t>Согласно п.12 ст.3 данного Закона содержание автомобильной дороги – это комплекс р</w:t>
      </w:r>
      <w:r>
        <w:t xml:space="preserve">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покрытия. </w:t>
      </w:r>
    </w:p>
    <w:p w:rsidR="00A77B3E" w:rsidP="008A4903">
      <w:pPr>
        <w:jc w:val="both"/>
      </w:pPr>
      <w:r>
        <w:t>Согласно п.4.1.1 «Отраслевого дорожного методического документа. Рекоменда</w:t>
      </w:r>
      <w:r>
        <w:t>ции по организации движения и ограждению мест производства дорожных работ» (далее - ОДМ 218.6.019-2016) местами производства работ на автомобильных дорогах называются участки проезжей части, обочин, откосов земляного полотна, мостов (путепроводов), раздели</w:t>
      </w:r>
      <w:r>
        <w:t>тельной полосы, тротуаров, пешеходных и велосипедных дорожек, на которых проводятся работы по строительству, реконструкции, капитальному ремонту, ремонту и содержанию, а также другие работы, вызывающие необходимость во временном изменении движения транспор</w:t>
      </w:r>
      <w:r>
        <w:t>тных, пешеходных и велосипедных потоков.  В зависимости от сроков проведения работ различают места производства долговременных и краткосрочных работ.</w:t>
      </w:r>
    </w:p>
    <w:p w:rsidR="00A77B3E" w:rsidP="008A4903">
      <w:pPr>
        <w:jc w:val="both"/>
      </w:pPr>
      <w:r>
        <w:t>Пунктом   4.1.3 ОДМ 218.6.019-2016 предусмотрено, что работы, проводимые на автомобильных дорогах, планиру</w:t>
      </w:r>
      <w:r>
        <w:t xml:space="preserve">ются таким образом, чтобы:     </w:t>
      </w:r>
    </w:p>
    <w:p w:rsidR="00A77B3E" w:rsidP="008A4903">
      <w:pPr>
        <w:jc w:val="both"/>
      </w:pPr>
      <w:r>
        <w:t xml:space="preserve">- их продолжительность и протяженность как можно меньше затрудняли движение транспортных средств, велосипедистов и пешеходов;  </w:t>
      </w:r>
    </w:p>
    <w:p w:rsidR="00A77B3E" w:rsidP="008A4903">
      <w:pPr>
        <w:jc w:val="both"/>
      </w:pPr>
      <w:r>
        <w:t>- обеспечивалась пропускная способность, достаточная для пропуска транспортных потоков в рабочей</w:t>
      </w:r>
      <w:r>
        <w:t xml:space="preserve"> зоне;</w:t>
      </w:r>
    </w:p>
    <w:p w:rsidR="00A77B3E" w:rsidP="008A4903">
      <w:pPr>
        <w:jc w:val="both"/>
      </w:pPr>
      <w:r>
        <w:t>- организация движения обеспечивала безопасные условия для движения транспортных средств, пешеходов и велосипедистов;</w:t>
      </w:r>
    </w:p>
    <w:p w:rsidR="00A77B3E" w:rsidP="008A4903">
      <w:pPr>
        <w:jc w:val="both"/>
      </w:pPr>
      <w:r>
        <w:t>- обеспечивались безопасные условия труда для людей, осуществляющих работы.</w:t>
      </w:r>
    </w:p>
    <w:p w:rsidR="00A77B3E" w:rsidP="008A4903">
      <w:pPr>
        <w:jc w:val="both"/>
      </w:pPr>
      <w:r>
        <w:t xml:space="preserve">          Перед началом проведения работ определяется порядок пропуска транспортных средств, велосипедистов и пешеходов, режимы движения транспортных средств в местах производства работ, обеспечивающие безопасность, как участников дорожного движения, так и</w:t>
      </w:r>
      <w:r>
        <w:t xml:space="preserve"> людей занятых в производстве. Организация движения на участках проведения работ выбирается в зависимости от их длительности, категории автомобильной дороги, сложности дорожных условий, местоположения и длины рабочей зоны, фактической интенсивности движени</w:t>
      </w:r>
      <w:r>
        <w:t>я транспортного потока, ширины проезжей части, закрываемой для движения.</w:t>
      </w:r>
    </w:p>
    <w:p w:rsidR="00A77B3E" w:rsidP="008A4903">
      <w:pPr>
        <w:jc w:val="both"/>
      </w:pPr>
      <w:r>
        <w:t xml:space="preserve">     </w:t>
      </w:r>
      <w:r>
        <w:tab/>
        <w:t>Согласно п. 4.1.4 ОДМ 218.6.019-2016 места производства работ обустраиваются техническими средствами организации дорожного движения, иными направляющими и ограждающими устройств</w:t>
      </w:r>
      <w:r>
        <w:t>ами, средствами сигнализации и прочими средствами, предусмотренными настоящим методическим документом.  В местах производства работ применяются по ГОСТ Р 52289 технические средства организации дорожного движения, соответствующие ГОСТ Р 50971-2011, ГОСТ Р 5</w:t>
      </w:r>
      <w:r>
        <w:t xml:space="preserve">1256-2011, ГОСТ Р 52282-2004, ГОСТ Р 52290-2004, ГОСТ Р 52607-2006. Типы </w:t>
      </w:r>
      <w:r>
        <w:t>технических средств и ограждающих устройств в местах производства работ выбираются в соответствии с категорией автомобильной дороги, продолжительностью и видом работ, опасностью места</w:t>
      </w:r>
      <w:r>
        <w:t xml:space="preserve"> производства работ (наличие неблагоприятных дорожных условий, разрытий, траншей, котлованов) в зависимости от способа пропуска транспортных средств (по проезжей части, обочинам или по специально устраиваемым объездам) в рабочей зоне.       </w:t>
      </w:r>
    </w:p>
    <w:p w:rsidR="00A77B3E" w:rsidP="008A4903">
      <w:pPr>
        <w:jc w:val="both"/>
      </w:pPr>
      <w:r>
        <w:t xml:space="preserve">     </w:t>
      </w:r>
      <w:r>
        <w:tab/>
        <w:t xml:space="preserve">Пунктом </w:t>
      </w:r>
      <w:r>
        <w:t>4.1.5 ОДМ 218.6.019-2016 предусмотрено, что при строительстве, реконструкции, капитальном ремонте, ремонте и содержании автомобильных дорог, независимо от форм их собственности, для обустройства мест производства работ используются:</w:t>
      </w:r>
    </w:p>
    <w:p w:rsidR="00A77B3E" w:rsidP="008A4903">
      <w:pPr>
        <w:jc w:val="both"/>
      </w:pPr>
      <w:r>
        <w:t xml:space="preserve">   </w:t>
      </w:r>
      <w:r>
        <w:tab/>
        <w:t>- временные дорожны</w:t>
      </w:r>
      <w:r>
        <w:t>е знаки;</w:t>
      </w:r>
    </w:p>
    <w:p w:rsidR="00A77B3E" w:rsidP="008A4903">
      <w:pPr>
        <w:jc w:val="both"/>
      </w:pPr>
      <w:r>
        <w:t xml:space="preserve"> </w:t>
      </w:r>
      <w:r>
        <w:tab/>
        <w:t>- временную разметку проезжей части;</w:t>
      </w:r>
    </w:p>
    <w:p w:rsidR="00A77B3E" w:rsidP="008A4903">
      <w:pPr>
        <w:jc w:val="both"/>
      </w:pPr>
      <w:r>
        <w:t xml:space="preserve">  </w:t>
      </w:r>
      <w:r>
        <w:tab/>
        <w:t>- ограждающие и направляющие устройства;</w:t>
      </w:r>
    </w:p>
    <w:p w:rsidR="00A77B3E" w:rsidP="008A4903">
      <w:pPr>
        <w:jc w:val="both"/>
      </w:pPr>
      <w:r>
        <w:t xml:space="preserve">    </w:t>
      </w:r>
      <w:r>
        <w:tab/>
        <w:t>- средства сигнализации;</w:t>
      </w:r>
    </w:p>
    <w:p w:rsidR="00A77B3E" w:rsidP="008A4903">
      <w:pPr>
        <w:jc w:val="both"/>
      </w:pPr>
      <w:r>
        <w:t xml:space="preserve">    </w:t>
      </w:r>
      <w:r>
        <w:tab/>
        <w:t>- дорожные устройства.</w:t>
      </w:r>
    </w:p>
    <w:p w:rsidR="00A77B3E" w:rsidP="008A4903">
      <w:pPr>
        <w:jc w:val="both"/>
      </w:pPr>
      <w:r>
        <w:t xml:space="preserve"> </w:t>
      </w:r>
      <w:r>
        <w:tab/>
        <w:t>Размещение на проезжей части и обочинах оборудования, инвентаря, строительных материалов и дорожных маши</w:t>
      </w:r>
      <w:r>
        <w:t xml:space="preserve">н осуществляется организацией-исполнителем после полного обустройства участка временного изменения движения всеми необходимыми техническими средствами организации движения, ограждающими и направляющими устройствами в соответствии со схемой.    </w:t>
      </w:r>
    </w:p>
    <w:p w:rsidR="00A77B3E" w:rsidP="008A4903">
      <w:pPr>
        <w:jc w:val="both"/>
      </w:pPr>
      <w:r>
        <w:t xml:space="preserve">     </w:t>
      </w:r>
      <w:r>
        <w:tab/>
        <w:t>При в</w:t>
      </w:r>
      <w:r>
        <w:t xml:space="preserve">ыполнении работ строительные материалы, грунт, дорожные машины, механизмы и оборудование размещаются в рабочей зоне или в местах хранения.     </w:t>
      </w:r>
    </w:p>
    <w:p w:rsidR="00A77B3E" w:rsidP="008A4903">
      <w:pPr>
        <w:jc w:val="both"/>
      </w:pPr>
      <w:r>
        <w:t xml:space="preserve">     </w:t>
      </w:r>
      <w:r>
        <w:tab/>
        <w:t>В случаях размещения мест хранения строительной техники и материалов в пределах земляного полотна, на вело</w:t>
      </w:r>
      <w:r>
        <w:t xml:space="preserve">сипедных дорожках и тротуарах, места хранения обозначаются как места производства работ в соответствии с проектом организации движения. Отклонение от схемы, а также применение неисправных технических средств не допускается (п.4.2.1 ОДМ 218.6.019-2016).    </w:t>
      </w:r>
      <w:r>
        <w:t xml:space="preserve"> </w:t>
      </w:r>
    </w:p>
    <w:p w:rsidR="00A77B3E" w:rsidP="008A4903">
      <w:pPr>
        <w:jc w:val="both"/>
      </w:pPr>
      <w:r>
        <w:t xml:space="preserve">     </w:t>
      </w:r>
      <w:r>
        <w:tab/>
        <w:t xml:space="preserve">Применяемые при дорожных работах технические средства организации движения, ограждающие и направляющие устройства устанавливаются и содержаться за счет организации-исполнителя.   </w:t>
      </w:r>
    </w:p>
    <w:p w:rsidR="00A77B3E" w:rsidP="008A4903">
      <w:pPr>
        <w:jc w:val="both"/>
      </w:pPr>
      <w:r>
        <w:t xml:space="preserve">     </w:t>
      </w:r>
      <w:r>
        <w:tab/>
        <w:t>На участке временного изменения движения постоянные дорожные з</w:t>
      </w:r>
      <w:r>
        <w:t>наки 1.8, 1.15, 1.16, 1.18-1.21, 1.33, 2.6, 3.11-3.16, 3.18.1-3.25, выполненные на белом фоне, а также знаки, действие которых распространяется на участок производства работ, но противоречит временной схеме организации дорожного движения, на период дорожны</w:t>
      </w:r>
      <w:r>
        <w:t>х работ закрываются чехлами или демонтируются (п.4.2.2 ОДМ 218.6.019-2016).</w:t>
      </w:r>
    </w:p>
    <w:p w:rsidR="00A77B3E" w:rsidP="008A4903">
      <w:pPr>
        <w:jc w:val="both"/>
      </w:pPr>
      <w:r>
        <w:t>Согласно п. 4.2.3 ОДМ 218.6.019-2016 установка и демонтаж технических средств организации дорожного движения, ограждающих и направляющих устройств, прочих технических средств, прим</w:t>
      </w:r>
      <w:r>
        <w:t>еняемых для обустройства мест производства работ, осуществляется организацией-исполнителем.</w:t>
      </w:r>
    </w:p>
    <w:p w:rsidR="00A77B3E" w:rsidP="008A4903">
      <w:pPr>
        <w:jc w:val="both"/>
      </w:pPr>
      <w:r>
        <w:t>Расстановка необходимых средств осуществляется непосредственно перед началом производства работ, в следующем порядке:</w:t>
      </w:r>
    </w:p>
    <w:p w:rsidR="00A77B3E" w:rsidP="008A4903">
      <w:pPr>
        <w:jc w:val="both"/>
      </w:pPr>
      <w:r>
        <w:t>- дорожные знаки;</w:t>
      </w:r>
    </w:p>
    <w:p w:rsidR="00A77B3E" w:rsidP="008A4903">
      <w:pPr>
        <w:jc w:val="both"/>
      </w:pPr>
      <w:r>
        <w:t>- дорожные светофоры;</w:t>
      </w:r>
    </w:p>
    <w:p w:rsidR="00A77B3E" w:rsidP="008A4903">
      <w:pPr>
        <w:jc w:val="both"/>
      </w:pPr>
      <w:r>
        <w:t>- доро</w:t>
      </w:r>
      <w:r>
        <w:t>жная разметка;</w:t>
      </w:r>
    </w:p>
    <w:p w:rsidR="00A77B3E" w:rsidP="008A4903">
      <w:pPr>
        <w:jc w:val="both"/>
      </w:pPr>
      <w:r>
        <w:t>- направляющие устройства;</w:t>
      </w:r>
    </w:p>
    <w:p w:rsidR="00A77B3E" w:rsidP="008A4903">
      <w:pPr>
        <w:jc w:val="both"/>
      </w:pPr>
      <w:r>
        <w:t>- ограждающие устройства.</w:t>
      </w:r>
    </w:p>
    <w:p w:rsidR="00A77B3E" w:rsidP="008A4903">
      <w:pPr>
        <w:jc w:val="both"/>
      </w:pPr>
      <w:r>
        <w:t>Первыми устанавливаются дорожные знаки, наиболее удаленные от мест производства работ и для направления движения, противоположного тому, на котором предусмотрено проведение работ.</w:t>
      </w:r>
    </w:p>
    <w:p w:rsidR="00A77B3E" w:rsidP="008A4903">
      <w:pPr>
        <w:jc w:val="both"/>
      </w:pPr>
      <w:r>
        <w:t>Демонтаж</w:t>
      </w:r>
      <w:r>
        <w:t xml:space="preserve"> временных технических средств организации дорожного движения, направляющих и ограждающих устройств, прочих технических средств осуществляется незамедлительно после завершения работ в обратной последовательности.</w:t>
      </w:r>
    </w:p>
    <w:p w:rsidR="00A77B3E" w:rsidP="008A4903">
      <w:pPr>
        <w:jc w:val="both"/>
      </w:pPr>
      <w:r>
        <w:t xml:space="preserve">    </w:t>
      </w:r>
      <w:r>
        <w:tab/>
        <w:t>Уполномоченными лицами организации-исп</w:t>
      </w:r>
      <w:r>
        <w:t>олнителя ежедневно перед началом и во время проведения работ, а также после окончания рабочей смены проверяется наличие и состояние технических средств организации дорожного движения, ограждающих и направляющих устройств, предусмотренных схемой организации</w:t>
      </w:r>
      <w:r>
        <w:t xml:space="preserve"> движения и ограждения мест производства работ, соответствие видимости дорожных знаков и светофоров требованиям ГОСТ Р 52289, </w:t>
      </w:r>
      <w:r>
        <w:t>световозвращателей</w:t>
      </w:r>
      <w:r>
        <w:t xml:space="preserve"> - ГОСТ Р 50597. При необходимости заменяются пришедшие в негодность, в том числе по причине несоответствия свет</w:t>
      </w:r>
      <w:r>
        <w:t xml:space="preserve">отехнических характеристик знаков и разметки ГОСТ Р 50597, конусов и пластин - ГОСТ 32758, или устанавливаются отсутствующие средства организации дорожного движения (п.4.2.4 ОДМ 218.6.019-2016).     </w:t>
      </w:r>
    </w:p>
    <w:p w:rsidR="00A77B3E" w:rsidP="008A4903">
      <w:pPr>
        <w:jc w:val="both"/>
      </w:pPr>
      <w:r>
        <w:t>Статьей 12 Федерального закона от 10.12.1995 г. № 196-ФЗ</w:t>
      </w:r>
      <w:r>
        <w:t xml:space="preserve"> «О безопасности дорожного движения» установлено, что ремонт и содержание дорог должны обеспечивать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</w:t>
      </w:r>
      <w:r>
        <w:t xml:space="preserve">рмативным документам возлагается на лица, осуществляющие содержание автомобильных дорог. </w:t>
      </w:r>
    </w:p>
    <w:p w:rsidR="00A77B3E" w:rsidP="008A4903">
      <w:pPr>
        <w:jc w:val="both"/>
      </w:pPr>
      <w:r>
        <w:t>В силу п.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</w:t>
      </w:r>
      <w:r>
        <w:t>ных Постановлением Правительства Российской Федерации от 23.10.1993 N 1090 должностные и иные лица, ответственные за производство работ на дорогах, обязаны обеспечивать безопасность движения в местах проведения работ. Эти места, а также неработающие дорожн</w:t>
      </w:r>
      <w:r>
        <w:t>ые машины,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</w:t>
      </w:r>
      <w:r>
        <w:t>аточной видимости - дополнительно красными или желтыми сигнальными огнями.</w:t>
      </w:r>
    </w:p>
    <w:p w:rsidR="00A77B3E" w:rsidP="008A4903">
      <w:pPr>
        <w:jc w:val="both"/>
      </w:pPr>
      <w:r>
        <w:t xml:space="preserve">Таким образом, суд считает установленной вину </w:t>
      </w:r>
      <w:r>
        <w:t>Аветисян</w:t>
      </w:r>
      <w:r>
        <w:t xml:space="preserve"> А.О. в совершенном правонарушении, поскольку им не были выполнены требования по обеспечению безопасности дорожного движения, в</w:t>
      </w:r>
      <w:r>
        <w:t xml:space="preserve"> связи с чем считает необходимым подвергнуть его административной ответственности.</w:t>
      </w:r>
    </w:p>
    <w:p w:rsidR="00A77B3E" w:rsidP="008A4903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</w:t>
      </w:r>
      <w:r>
        <w:t xml:space="preserve">ием своих служебных обязанностей. </w:t>
      </w:r>
    </w:p>
    <w:p w:rsidR="00A77B3E" w:rsidP="008A4903">
      <w:pPr>
        <w:jc w:val="both"/>
      </w:pPr>
      <w:r>
        <w:t xml:space="preserve">Согласно приказа № </w:t>
      </w:r>
      <w:r>
        <w:t>х</w:t>
      </w:r>
      <w:r>
        <w:t xml:space="preserve"> о возложении обязанностей генерального директора от дата</w:t>
      </w:r>
      <w:r>
        <w:t xml:space="preserve"> на </w:t>
      </w:r>
      <w:r>
        <w:t>Аветисян</w:t>
      </w:r>
      <w:r>
        <w:t xml:space="preserve"> А.О. возложены обязанности генерального директора наименование </w:t>
      </w:r>
      <w:r>
        <w:t>организации, то есть он является должностным лицом в соответств</w:t>
      </w:r>
      <w:r>
        <w:t xml:space="preserve">ии со ст. 2.4 Кодекса Российской Федерации об административных правонарушениях. </w:t>
      </w:r>
    </w:p>
    <w:p w:rsidR="00A77B3E" w:rsidP="008A4903">
      <w:pPr>
        <w:jc w:val="both"/>
      </w:pPr>
      <w: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</w:t>
      </w:r>
      <w:r>
        <w:t xml:space="preserve">делу, его имущественное положение. </w:t>
      </w:r>
    </w:p>
    <w:p w:rsidR="00A77B3E" w:rsidP="008A4903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</w:t>
      </w:r>
      <w:r>
        <w:t>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A4903">
      <w:pPr>
        <w:jc w:val="both"/>
      </w:pPr>
      <w:r>
        <w:t>Учитывая конкретные обстоятельства дела и необходимость достижения целей нака</w:t>
      </w:r>
      <w:r>
        <w:t xml:space="preserve">зания, необходимость влияния назначаемого наказания на исправление </w:t>
      </w:r>
      <w:r>
        <w:t>Аветисян</w:t>
      </w:r>
      <w:r>
        <w:t xml:space="preserve"> А.О., суд полагает целесообразным назначить </w:t>
      </w:r>
      <w:r>
        <w:t>Аветисян</w:t>
      </w:r>
      <w:r>
        <w:t xml:space="preserve"> А.О. наказание в виде административного штрафа в доход государства в минимальном размере, предусмотренном санкцией ч.1 ст. 12.3</w:t>
      </w:r>
      <w:r>
        <w:t>4 Кодекса Российской Федерации об административных правонарушениях.</w:t>
      </w:r>
    </w:p>
    <w:p w:rsidR="00A77B3E" w:rsidP="008A4903">
      <w:pPr>
        <w:jc w:val="both"/>
      </w:pPr>
      <w:r>
        <w:t>На основании ст. 12.34 ч.1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</w:t>
      </w:r>
      <w:r>
        <w:t>арушениях,</w:t>
      </w:r>
    </w:p>
    <w:p w:rsidR="00A77B3E" w:rsidP="008A4903">
      <w:pPr>
        <w:jc w:val="both"/>
      </w:pPr>
    </w:p>
    <w:p w:rsidR="00A77B3E" w:rsidP="008A490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8A4903">
      <w:pPr>
        <w:jc w:val="both"/>
      </w:pPr>
    </w:p>
    <w:p w:rsidR="00A77B3E" w:rsidP="008A4903">
      <w:pPr>
        <w:jc w:val="both"/>
      </w:pPr>
      <w:r>
        <w:t xml:space="preserve">признать </w:t>
      </w:r>
      <w:r>
        <w:t>Аветисян</w:t>
      </w:r>
      <w:r>
        <w:t xml:space="preserve"> Александра </w:t>
      </w:r>
      <w:r>
        <w:t>Омеросовича</w:t>
      </w:r>
      <w:r>
        <w:t xml:space="preserve"> виновным в совершении административного правонарушения, предусмотренного ст. 12.34 ч.1 Кодекса Российской Федерации об административных правонарушениях и назначить административное </w:t>
      </w:r>
      <w:r>
        <w:t>наказание в виде административного штрафа в размере 20 000 (двадцати тысяч) рублей (</w:t>
      </w:r>
      <w:r>
        <w:t>р</w:t>
      </w:r>
      <w:r>
        <w:t xml:space="preserve">/с </w:t>
      </w:r>
      <w:r>
        <w:t>хххххххххххххххххххх</w:t>
      </w:r>
      <w:r>
        <w:t xml:space="preserve"> в Отделение по Республике Крым ЮГУ ЦБ РФ, БИК: 043510001, КБК: </w:t>
      </w:r>
      <w:r>
        <w:t>ххххххххххххххххххх</w:t>
      </w:r>
      <w:r>
        <w:t xml:space="preserve">, КПП: </w:t>
      </w:r>
      <w:r>
        <w:t>ххххххххххх</w:t>
      </w:r>
      <w:r>
        <w:t xml:space="preserve">, ОКТМО: </w:t>
      </w:r>
      <w:r>
        <w:t>ххххххххххх</w:t>
      </w:r>
      <w:r>
        <w:t xml:space="preserve">, ИНН: </w:t>
      </w:r>
      <w:r>
        <w:t>ххххххххххх</w:t>
      </w:r>
      <w:r>
        <w:t xml:space="preserve">, л/с </w:t>
      </w:r>
      <w:r>
        <w:t>хххххххххххххх</w:t>
      </w:r>
      <w:r>
        <w:t xml:space="preserve">, получатель: </w:t>
      </w:r>
      <w:r>
        <w:t xml:space="preserve">УФК (ОМВД России по г. Армянску), УИН: </w:t>
      </w:r>
      <w:r>
        <w:t>ххххххххххххххххххххх</w:t>
      </w:r>
      <w:r>
        <w:t>).</w:t>
      </w:r>
    </w:p>
    <w:p w:rsidR="00A77B3E" w:rsidP="008A4903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силу.</w:t>
      </w:r>
    </w:p>
    <w:p w:rsidR="00A77B3E" w:rsidP="008A4903">
      <w:pPr>
        <w:jc w:val="both"/>
      </w:pPr>
      <w:r>
        <w:t>В случае оплаты штрафа в течение 20-дней со дня вы</w:t>
      </w:r>
      <w:r>
        <w:t>несения постановления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</w:t>
      </w:r>
      <w:r>
        <w:t>.1, статьей 12.8, частями 6 и 7 статьи 12.9, частью 3 статьи 12.12, частью 5 статьи 12.15, частью 3.1 статьи 12.16, статьями 12.24, 12.26, частью 3 статьи 12.27 настоящего Кодекса, административный штраф может быть уплачен в размере половины суммы наложенн</w:t>
      </w:r>
      <w:r>
        <w:t>ого административного штрафа (10 000 рублей). В случае</w:t>
      </w:r>
      <w:r>
        <w:t>,</w:t>
      </w:r>
      <w: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>
        <w:t>уплачивается в по</w:t>
      </w:r>
      <w:r>
        <w:t xml:space="preserve">лном размере (ст. </w:t>
      </w:r>
      <w:r>
        <w:t>32.2 ч.1.3 Кодекса Российской Федерации об административных правонарушениях).</w:t>
      </w:r>
    </w:p>
    <w:p w:rsidR="00A77B3E" w:rsidP="008A4903">
      <w:pPr>
        <w:jc w:val="both"/>
      </w:pPr>
      <w:r>
        <w:t xml:space="preserve">Оригинал квитанции об оплате штрафа подлежит предъявлению в суд. </w:t>
      </w:r>
    </w:p>
    <w:p w:rsidR="00A77B3E" w:rsidP="008A4903">
      <w:pPr>
        <w:jc w:val="both"/>
      </w:pPr>
      <w:r>
        <w:t>В случае неуплаты штрафа в срок и не предъявлении квитанции, постановление о наложении админист</w:t>
      </w:r>
      <w:r>
        <w:t xml:space="preserve">ративного штрафа будет направлено судебному приставу-исполнителю для исполнения. </w:t>
      </w:r>
      <w:r>
        <w:t xml:space="preserve">В соответствии с ч.1 ст. </w:t>
      </w:r>
      <w:r>
        <w:t>20.25 Кодекса Российской Федерации об административных правонарушениях неуплата штрафа в указанный срок влечет наложение административного штрафа в дву</w:t>
      </w:r>
      <w: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A4903">
      <w:pPr>
        <w:jc w:val="both"/>
      </w:pPr>
      <w:r>
        <w:t>Постановление может быть обжаловано в Армянский го</w:t>
      </w:r>
      <w:r>
        <w:t>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8A4903">
      <w:pPr>
        <w:jc w:val="both"/>
      </w:pPr>
    </w:p>
    <w:p w:rsidR="00A77B3E" w:rsidP="008A4903">
      <w:pPr>
        <w:jc w:val="both"/>
      </w:pPr>
      <w:r>
        <w:t>Мировой судья:</w:t>
      </w:r>
    </w:p>
    <w:p w:rsidR="00A77B3E" w:rsidP="008A4903">
      <w:pPr>
        <w:jc w:val="both"/>
      </w:pPr>
    </w:p>
    <w:p w:rsidR="00A77B3E" w:rsidP="008A4903">
      <w:pPr>
        <w:jc w:val="both"/>
      </w:pPr>
    </w:p>
    <w:p w:rsidR="00A77B3E" w:rsidP="008A4903">
      <w:pPr>
        <w:jc w:val="both"/>
      </w:pPr>
    </w:p>
    <w:p w:rsidR="00A77B3E" w:rsidP="008A4903">
      <w:pPr>
        <w:jc w:val="both"/>
      </w:pPr>
    </w:p>
    <w:p w:rsidR="00A77B3E" w:rsidP="008A4903">
      <w:pPr>
        <w:jc w:val="both"/>
      </w:pPr>
    </w:p>
    <w:sectPr w:rsidSect="001846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6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