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</w:t>
      </w:r>
      <w:r>
        <w:rPr>
          <w:rFonts w:ascii="Times New Roman" w:eastAsia="Times New Roman" w:hAnsi="Times New Roman" w:cs="Times New Roman"/>
        </w:rPr>
        <w:t xml:space="preserve">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