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5-26-70/2025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20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в отношении юридического лица – </w:t>
      </w:r>
      <w:r>
        <w:rPr>
          <w:rStyle w:val="cat-OrganizationNamegrp-23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(ОГРН 1149102093491, ИНН </w:t>
      </w:r>
      <w:r>
        <w:rPr>
          <w:rStyle w:val="cat-PhoneNumbergrp-25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910401001), юридический адрес: </w:t>
      </w:r>
      <w:r>
        <w:rPr>
          <w:rStyle w:val="cat-Addressgrp-4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20.35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Style w:val="cat-OrganizationNamegrp-24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к антитеррористической защищенности объектов (территорий), ответственность за которое предусмотрена ч. 1 ст. 20.35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установленных законодательством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антитеррористической защищенности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обьектов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торговли, расположенных в зоне ответственности СМОВО, юридическим лицом </w:t>
      </w:r>
      <w:r>
        <w:rPr>
          <w:rStyle w:val="cat-OrganizationNamegrp-24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торговому объ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екту: </w:t>
      </w:r>
      <w:r>
        <w:rPr>
          <w:rFonts w:ascii="Times New Roman" w:eastAsia="Times New Roman" w:hAnsi="Times New Roman" w:cs="Times New Roman"/>
          <w:sz w:val="26"/>
          <w:szCs w:val="26"/>
        </w:rPr>
        <w:t>Торговые ряды, расположенному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 14</w:t>
      </w:r>
      <w:r>
        <w:rPr>
          <w:rFonts w:ascii="Times New Roman" w:eastAsia="Times New Roman" w:hAnsi="Times New Roman" w:cs="Times New Roman"/>
          <w:sz w:val="26"/>
          <w:szCs w:val="26"/>
        </w:rPr>
        <w:t>,18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Требований к антитеррористической защищенности торговых объектов (территорий), утвержденных постановлением Правительства Российской Федерации от </w:t>
      </w:r>
      <w:r>
        <w:rPr>
          <w:rStyle w:val="cat-Dategrp-10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1273, </w:t>
      </w:r>
      <w:r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обследованию и категорированию </w:t>
      </w:r>
      <w:r>
        <w:rPr>
          <w:rFonts w:ascii="Times New Roman" w:eastAsia="Times New Roman" w:hAnsi="Times New Roman" w:cs="Times New Roman"/>
          <w:sz w:val="26"/>
          <w:szCs w:val="26"/>
        </w:rPr>
        <w:t>обьекта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создана, обследован</w:t>
      </w:r>
      <w:r>
        <w:rPr>
          <w:rFonts w:ascii="Times New Roman" w:eastAsia="Times New Roman" w:hAnsi="Times New Roman" w:cs="Times New Roman"/>
          <w:sz w:val="26"/>
          <w:szCs w:val="26"/>
        </w:rPr>
        <w:t>ие объ</w:t>
      </w:r>
      <w:r>
        <w:rPr>
          <w:rFonts w:ascii="Times New Roman" w:eastAsia="Times New Roman" w:hAnsi="Times New Roman" w:cs="Times New Roman"/>
          <w:sz w:val="26"/>
          <w:szCs w:val="26"/>
        </w:rPr>
        <w:t>екта не проведено,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 об</w:t>
      </w:r>
      <w:r>
        <w:rPr>
          <w:rFonts w:ascii="Times New Roman" w:eastAsia="Times New Roman" w:hAnsi="Times New Roman" w:cs="Times New Roman"/>
          <w:sz w:val="26"/>
          <w:szCs w:val="26"/>
        </w:rPr>
        <w:t>следования и категорирования объ</w:t>
      </w:r>
      <w:r>
        <w:rPr>
          <w:rFonts w:ascii="Times New Roman" w:eastAsia="Times New Roman" w:hAnsi="Times New Roman" w:cs="Times New Roman"/>
          <w:sz w:val="26"/>
          <w:szCs w:val="26"/>
        </w:rPr>
        <w:t>екта не составлен,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21 Требований, </w:t>
      </w:r>
      <w:r>
        <w:rPr>
          <w:rFonts w:ascii="Times New Roman" w:eastAsia="Times New Roman" w:hAnsi="Times New Roman" w:cs="Times New Roman"/>
          <w:sz w:val="26"/>
          <w:szCs w:val="26"/>
        </w:rPr>
        <w:t>паспорт безопасности объ</w:t>
      </w:r>
      <w:r>
        <w:rPr>
          <w:rFonts w:ascii="Times New Roman" w:eastAsia="Times New Roman" w:hAnsi="Times New Roman" w:cs="Times New Roman"/>
          <w:sz w:val="26"/>
          <w:szCs w:val="26"/>
        </w:rPr>
        <w:t>екта не разработан и не согласован.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Для рассмотрения дела об административном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>
        <w:rPr>
          <w:rStyle w:val="cat-OrganizationNamegrp-24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своего представителя не 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месте и времени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каких-либо ходатайств и заявлений не поступ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ло.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возможным рассмотреть дело в отсутствие представителя </w:t>
      </w:r>
      <w:r>
        <w:rPr>
          <w:rStyle w:val="cat-OrganizationNamegrp-24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порядке п. 6 Постановления Пленума ВС РФ № 5 «О некоторых вопросах, возникающих у судов при применении Кодекса Российской Федерации об административных правонарушениях» и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приходит к выводу, что вина </w:t>
      </w:r>
      <w:r>
        <w:rPr>
          <w:rStyle w:val="cat-OrganizationNamegrp-24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ответственность за которое предусмотрена ч. 1 ст. 20.35 КоАП РФ, полностью доказана и подтверждается: протоколом об административном правонарушении 91 ОВО </w:t>
      </w:r>
      <w:r>
        <w:rPr>
          <w:rStyle w:val="cat-PhoneNumbergrp-26rplc-1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0000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(л.д.2-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старшего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>СМ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 от </w:t>
      </w:r>
      <w:r>
        <w:rPr>
          <w:rStyle w:val="cat-Dategrp-12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старшего инспектора СМОВО от </w:t>
      </w:r>
      <w:r>
        <w:rPr>
          <w:rStyle w:val="cat-Dategrp-11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(л.д.12);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требованием </w:t>
      </w:r>
      <w:r>
        <w:rPr>
          <w:rFonts w:ascii="Times New Roman" w:eastAsia="Times New Roman" w:hAnsi="Times New Roman" w:cs="Times New Roman"/>
          <w:sz w:val="26"/>
          <w:szCs w:val="26"/>
        </w:rPr>
        <w:t>СМОВО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филиала ФГКУ «</w:t>
      </w:r>
      <w:r>
        <w:rPr>
          <w:rFonts w:ascii="Times New Roman" w:eastAsia="Times New Roman" w:hAnsi="Times New Roman" w:cs="Times New Roman"/>
          <w:sz w:val="26"/>
          <w:szCs w:val="26"/>
        </w:rPr>
        <w:t>УВ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ВНГ России по </w:t>
      </w:r>
      <w:r>
        <w:rPr>
          <w:rStyle w:val="cat-Addressgrp-1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перечнем торговых </w:t>
      </w:r>
      <w:r>
        <w:rPr>
          <w:rFonts w:ascii="Times New Roman" w:eastAsia="Times New Roman" w:hAnsi="Times New Roman" w:cs="Times New Roman"/>
          <w:sz w:val="26"/>
          <w:szCs w:val="26"/>
        </w:rPr>
        <w:t>обьектов</w:t>
      </w:r>
      <w:r>
        <w:rPr>
          <w:rFonts w:ascii="Times New Roman" w:eastAsia="Times New Roman" w:hAnsi="Times New Roman" w:cs="Times New Roman"/>
          <w:sz w:val="26"/>
          <w:szCs w:val="26"/>
        </w:rPr>
        <w:t>, подлежащих категорированию в интересах их антитеррористической защиты (л.д.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иными материалами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Данные доказательства являются последовательными, </w:t>
      </w:r>
      <w:r>
        <w:rPr>
          <w:rFonts w:ascii="Times New Roman" w:eastAsia="Times New Roman" w:hAnsi="Times New Roman" w:cs="Times New Roman"/>
          <w:sz w:val="26"/>
          <w:szCs w:val="26"/>
        </w:rPr>
        <w:t>взаимодополняемыми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добытыми полномочными должностными лицами и процессуально закрепленными </w:t>
      </w:r>
      <w:r>
        <w:rPr>
          <w:rFonts w:ascii="Times New Roman" w:eastAsia="Times New Roman" w:hAnsi="Times New Roman" w:cs="Times New Roman"/>
          <w:sz w:val="26"/>
          <w:szCs w:val="26"/>
        </w:rPr>
        <w:t>с соблюдением требований КоАП РФ, в связи с чем, оснований сомневаться в их достоверности у мирового судьи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 Федерального закона от </w:t>
      </w:r>
      <w:r>
        <w:rPr>
          <w:rStyle w:val="cat-Dategrp-13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35-ФЗ «О противодействии терроризму»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других федеральных органов государственной власти.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 4 ч. 2 ст. 5 Федерального закона от </w:t>
      </w:r>
      <w:r>
        <w:rPr>
          <w:rStyle w:val="cat-Dategrp-13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35-ФЗ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Как следует из материалов дела, торговый объект</w:t>
      </w:r>
      <w:r>
        <w:rPr>
          <w:rFonts w:ascii="Times New Roman" w:eastAsia="Times New Roman" w:hAnsi="Times New Roman" w:cs="Times New Roman"/>
          <w:sz w:val="26"/>
          <w:szCs w:val="26"/>
        </w:rPr>
        <w:t>: Торговые ряды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включен в Перечень объектов торговли (территорий), расположенных на территории </w:t>
      </w:r>
      <w:r>
        <w:rPr>
          <w:rStyle w:val="cat-Addressgrp-1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подлежащих категорированию в интересах их антитеррористической защиты (уведомление Министерства промышленной политики </w:t>
      </w:r>
      <w:r>
        <w:rPr>
          <w:rStyle w:val="cat-Addressgrp-1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08/2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/2).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14 Требований к антитеррористической защищенности торговых объектов (территорий), утвержденных постановлением Правительства Российской Федерации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1273, </w:t>
      </w:r>
      <w:r>
        <w:rPr>
          <w:rFonts w:ascii="Times New Roman" w:eastAsia="Times New Roman" w:hAnsi="Times New Roman" w:cs="Times New Roman"/>
          <w:sz w:val="26"/>
          <w:szCs w:val="26"/>
        </w:rPr>
        <w:t>для проведения категориров</w:t>
      </w:r>
      <w:r>
        <w:rPr>
          <w:rFonts w:ascii="Times New Roman" w:eastAsia="Times New Roman" w:hAnsi="Times New Roman" w:cs="Times New Roman"/>
          <w:sz w:val="26"/>
          <w:szCs w:val="26"/>
        </w:rPr>
        <w:t>ания торгового объ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екта (территории) </w:t>
      </w:r>
      <w:r>
        <w:rPr>
          <w:rFonts w:ascii="Times New Roman" w:eastAsia="Times New Roman" w:hAnsi="Times New Roman" w:cs="Times New Roman"/>
          <w:sz w:val="26"/>
          <w:szCs w:val="26"/>
        </w:rPr>
        <w:t>решением правообладателя торгового объекта (территории) создается комиссия по обследованию и категорированию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торгового объекта (территории)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1 месяца со дня получения уведомления о включении этого торгового объекта (территории) в Перечень.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работы комиссии составляет 30 рабочих дней.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18 Требований результаты работы комиссии оформляются актом обследования и категорирования торгового объекта (территории), который составляется в произвольной форме и содержит сведения, подтверждающие принятие комиссией решения о присвоении торговому объекту (территории) соответствующей категории, выводы об эффективности существующей антитеррористической защищенности торгового объекта (территории), а также рекомендации и перечень мер по приведению его антитеррористической защищенности в соответствие с настоящими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п. 21 Требований на каждый торговый объект (территорию) в течение 30 дней после проведения его обследования и категорирования на основании акта обследования и категорирования торгового объекта (территории) разрабатывается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паспорт безопасности, представляющий собой информационно-справочный документ постоянного действия, отражающий состояние антитеррористической защищенности торгового объекта (территории) и содержащий перечень необходимых мероприятий по предупреждению (пресечению) террористических актов на торговом объекте (территории).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Паспорт безопасности составляется руководителем объекта на основании акта обследования и категорирования торгового объекта (территории) с учетом данных,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предоставляемых членами комиссии в соответствии с их компетенцией, и утверждается правообладателем торгового объекта (территории) либо уполномоченным им должностным лицом. </w:t>
      </w:r>
      <w:r>
        <w:rPr>
          <w:rFonts w:ascii="Times New Roman" w:eastAsia="Times New Roman" w:hAnsi="Times New Roman" w:cs="Times New Roman"/>
          <w:sz w:val="26"/>
          <w:szCs w:val="26"/>
        </w:rPr>
        <w:t>Паспорт безопасности в течение 30 дней со дня его составления подлежит согласованию с руководителями территориального органа безопасности,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торгового объекта (территории) или уполномоченными ими должностными лицами.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14 Требований — срок создания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обследованию и категорированию </w:t>
      </w:r>
      <w:r>
        <w:rPr>
          <w:rFonts w:ascii="Times New Roman" w:eastAsia="Times New Roman" w:hAnsi="Times New Roman" w:cs="Times New Roman"/>
          <w:sz w:val="26"/>
          <w:szCs w:val="26"/>
        </w:rPr>
        <w:t>обьекта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истек 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(комиссия создается в течени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месяца со дня получения соответствующего уведомления о включении в Перечень; </w:t>
      </w:r>
      <w:r>
        <w:rPr>
          <w:rStyle w:val="cat-Dategrp-1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вручение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</w:t>
      </w:r>
      <w:r>
        <w:rPr>
          <w:rFonts w:ascii="Times New Roman" w:eastAsia="Times New Roman" w:hAnsi="Times New Roman" w:cs="Times New Roman"/>
          <w:sz w:val="26"/>
          <w:szCs w:val="26"/>
        </w:rPr>
        <w:t>я отправителю,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осле истечения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14, 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Требований — срок работы комиссии и оформления 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обследования и категорирования истек </w:t>
      </w:r>
      <w:r>
        <w:rPr>
          <w:rStyle w:val="cat-Dategrp-1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(срок работы комиссии 30 рабочих дней, результаты работы комиссии оформляются актом обследования и категорирования),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п. 21 Требований — срок разработки паспорт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 истек </w:t>
      </w:r>
      <w:r>
        <w:rPr>
          <w:rStyle w:val="cat-Dategrp-18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безопасности разрабатывается на основании акта в течение 30 дней после проведения обследования и категорирования объекта),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21 Требований — срок согласования паспорта безопасности с территориальными органами, указанными в п. 21 Требований, истек </w:t>
      </w:r>
      <w:r>
        <w:rPr>
          <w:rStyle w:val="cat-Dategrp-19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безопасности в течение 30 дней со дня его составления подлежит согласованию).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образом, мировым судьей установлено, чт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Style w:val="cat-OrganizationNamegrp-24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выполнила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14,</w:t>
      </w:r>
      <w:r>
        <w:rPr>
          <w:rFonts w:ascii="Times New Roman" w:eastAsia="Times New Roman" w:hAnsi="Times New Roman" w:cs="Times New Roman"/>
          <w:sz w:val="26"/>
          <w:szCs w:val="26"/>
        </w:rPr>
        <w:t>18,</w:t>
      </w:r>
      <w:r>
        <w:rPr>
          <w:rFonts w:ascii="Times New Roman" w:eastAsia="Times New Roman" w:hAnsi="Times New Roman" w:cs="Times New Roman"/>
          <w:sz w:val="26"/>
          <w:szCs w:val="26"/>
        </w:rPr>
        <w:t>21 Требований к антитеррористической защищенности торгов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вые ряды,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принадлежащие на праве собствености</w:t>
      </w:r>
      <w:r>
        <w:rPr>
          <w:rFonts w:ascii="Times New Roman" w:eastAsia="Times New Roman" w:hAnsi="Times New Roman" w:cs="Times New Roman"/>
          <w:sz w:val="26"/>
          <w:szCs w:val="26"/>
        </w:rPr>
        <w:t>) в указанные сроки.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Тем самым, подтвержден факт того, чт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Style w:val="cat-OrganizationNamegrp-24rplc-3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для выполнения требования к антитеррористической защищенности торговых объектов утвержденных Постановлением Правительства Российской Федерации от </w:t>
      </w:r>
      <w:r>
        <w:rPr>
          <w:rStyle w:val="cat-Dategrp-10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1273.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Частью 1 ст. 20.35 КоАП РФ предусмотрена ответственность за нарушение требований к антитеррористической защищенности объектов (территорий) либо воспрепятствование деятельности лица,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ч. 2 настоящей статьи, ст. ст. 11.15.1 и 20.30 настоящего Кодекса, если эти действия не содержат признаков уголовно наказуемого деяния.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освобождения от административной ответственности, применения положений ст. 2.9 КоАП РФ, а также прекращения производства по делу, либо переквалификации действий </w:t>
      </w:r>
      <w:r>
        <w:rPr>
          <w:rStyle w:val="cat-OrganizationNamegrp-24rplc-3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мировым судьей не усматривается.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деяние юридического лица </w:t>
      </w:r>
      <w:r>
        <w:rPr>
          <w:rStyle w:val="cat-OrganizationNamegrp-24rplc-3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1 ст. 20.35 КоАП РФ, так как юридическое лицо, являясь ответственным за обеспечение антитеррористической защищенности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обьектов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торгов</w:t>
      </w:r>
      <w:r>
        <w:rPr>
          <w:rFonts w:ascii="Times New Roman" w:eastAsia="Times New Roman" w:hAnsi="Times New Roman" w:cs="Times New Roman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ненадлежащим образом исполняло обязанности и нарушило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к антитеррористической защищенности объектов (территорий) за исключением случаев, предусмотренных ч. 2 ст. 20.35 КоАП РФ, ст. ст. 11.15.1 и 20.30 КоАП РФ, если эти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содержат признаков уголовно наказуемого деяния, что подтверждается исследованными при рассмотрении дела доказательствами.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ответственность, имущественное положение юридического лица, и полагает возможным назначить наказание в виде административного штрафа, предусмотренного санкцией ч. 1 ст. 20.35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20.35,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юридическое лицо – </w:t>
      </w:r>
      <w:r>
        <w:rPr>
          <w:rStyle w:val="cat-OrganizationNamegrp-23rplc-3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1 ст. 20.35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и назначить административное наказание в виде административного штрафа в размере </w:t>
      </w:r>
      <w:r>
        <w:rPr>
          <w:rStyle w:val="cat-Sumgrp-22rplc-4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7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8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Отделение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9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30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31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2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33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4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 0410760300265003232420177.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6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OrganizationNamegrp-23rplc-6">
    <w:name w:val="cat-OrganizationName grp-23 rplc-6"/>
    <w:basedOn w:val="DefaultParagraphFont"/>
  </w:style>
  <w:style w:type="character" w:customStyle="1" w:styleId="cat-PhoneNumbergrp-25rplc-7">
    <w:name w:val="cat-PhoneNumber grp-2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OrganizationNamegrp-24rplc-9">
    <w:name w:val="cat-OrganizationName grp-24 rplc-9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PhoneNumbergrp-26rplc-16">
    <w:name w:val="cat-PhoneNumber grp-26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Dategrp-18rplc-32">
    <w:name w:val="cat-Date grp-18 rplc-32"/>
    <w:basedOn w:val="DefaultParagraphFont"/>
  </w:style>
  <w:style w:type="character" w:customStyle="1" w:styleId="cat-Dategrp-19rplc-33">
    <w:name w:val="cat-Date grp-19 rplc-33"/>
    <w:basedOn w:val="DefaultParagraphFont"/>
  </w:style>
  <w:style w:type="character" w:customStyle="1" w:styleId="cat-OrganizationNamegrp-24rplc-34">
    <w:name w:val="cat-OrganizationName grp-24 rplc-34"/>
    <w:basedOn w:val="DefaultParagraphFont"/>
  </w:style>
  <w:style w:type="character" w:customStyle="1" w:styleId="cat-OrganizationNamegrp-24rplc-35">
    <w:name w:val="cat-OrganizationName grp-24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OrganizationNamegrp-24rplc-37">
    <w:name w:val="cat-OrganizationName grp-24 rplc-37"/>
    <w:basedOn w:val="DefaultParagraphFont"/>
  </w:style>
  <w:style w:type="character" w:customStyle="1" w:styleId="cat-OrganizationNamegrp-24rplc-38">
    <w:name w:val="cat-OrganizationName grp-24 rplc-38"/>
    <w:basedOn w:val="DefaultParagraphFont"/>
  </w:style>
  <w:style w:type="character" w:customStyle="1" w:styleId="cat-OrganizationNamegrp-23rplc-39">
    <w:name w:val="cat-OrganizationName grp-23 rplc-39"/>
    <w:basedOn w:val="DefaultParagraphFont"/>
  </w:style>
  <w:style w:type="character" w:customStyle="1" w:styleId="cat-Sumgrp-22rplc-40">
    <w:name w:val="cat-Sum grp-22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PhoneNumbergrp-33rplc-53">
    <w:name w:val="cat-PhoneNumber grp-33 rplc-53"/>
    <w:basedOn w:val="DefaultParagraphFont"/>
  </w:style>
  <w:style w:type="character" w:customStyle="1" w:styleId="cat-PhoneNumbergrp-34rplc-54">
    <w:name w:val="cat-PhoneNumber grp-34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8rplc-57">
    <w:name w:val="cat-Address grp-8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21rplc-61">
    <w:name w:val="cat-FIO grp-2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