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5-26-71/2025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главы крестьянского (фермерского) хозяйства (КФХ)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</w:t>
      </w:r>
      <w:r>
        <w:rPr>
          <w:rFonts w:ascii="Times New Roman" w:eastAsia="Times New Roman" w:hAnsi="Times New Roman" w:cs="Times New Roman"/>
        </w:rPr>
        <w:t xml:space="preserve"> энд </w:t>
      </w:r>
      <w:r>
        <w:rPr>
          <w:rFonts w:ascii="Times New Roman" w:eastAsia="Times New Roman" w:hAnsi="Times New Roman" w:cs="Times New Roman"/>
        </w:rPr>
        <w:t>Вайнери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 крестьянского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6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главой крестьянского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главу крестьянского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