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350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6"/>
          <w:rFonts w:ascii="Times New Roman" w:eastAsia="Times New Roman" w:hAnsi="Times New Roman" w:cs="Times New Roman"/>
        </w:rPr>
        <w:t>Букреева О.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месту пребывания по</w:t>
      </w:r>
      <w:r>
        <w:rPr>
          <w:rFonts w:ascii="Times New Roman" w:eastAsia="Times New Roman" w:hAnsi="Times New Roman" w:cs="Times New Roman"/>
        </w:rPr>
        <w:t xml:space="preserve">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0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близи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мопедом </w:t>
      </w:r>
      <w:r>
        <w:rPr>
          <w:rFonts w:ascii="Times New Roman" w:eastAsia="Times New Roman" w:hAnsi="Times New Roman" w:cs="Times New Roman"/>
        </w:rPr>
        <w:t>ALPHO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запах алкоголя изо рта, резкое изменение окраски кожных покровов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</w:t>
      </w:r>
      <w:r>
        <w:rPr>
          <w:rFonts w:ascii="Times New Roman" w:eastAsia="Times New Roman" w:hAnsi="Times New Roman" w:cs="Times New Roman"/>
        </w:rPr>
        <w:t xml:space="preserve">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1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16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7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293581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069720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Style w:val="cat-Addressgrp-7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023859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7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61 ЕР № </w:t>
      </w:r>
      <w:r>
        <w:rPr>
          <w:rFonts w:ascii="Times New Roman" w:eastAsia="Times New Roman" w:hAnsi="Times New Roman" w:cs="Times New Roman"/>
        </w:rPr>
        <w:t>002779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сохранной распиской </w:t>
      </w:r>
      <w:r>
        <w:rPr>
          <w:rStyle w:val="cat-FIOgrp-18rplc-29"/>
          <w:rFonts w:ascii="Times New Roman" w:eastAsia="Times New Roman" w:hAnsi="Times New Roman" w:cs="Times New Roman"/>
        </w:rPr>
        <w:t>Боридко А. В.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(л.д.8)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8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данным которой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33"/>
          <w:rFonts w:ascii="Times New Roman" w:eastAsia="Times New Roman" w:hAnsi="Times New Roman" w:cs="Times New Roman"/>
        </w:rPr>
        <w:t>...</w:t>
      </w:r>
      <w:r>
        <w:rPr>
          <w:rStyle w:val="cat-PassportDatagrp-21rplc-3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отделения Государственной инспекции безопасности дорожного движения ОМВД России по </w:t>
      </w:r>
      <w:r>
        <w:rPr>
          <w:rStyle w:val="cat-Addressgrp-8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16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37"/>
          <w:rFonts w:ascii="Times New Roman" w:eastAsia="Times New Roman" w:hAnsi="Times New Roman" w:cs="Times New Roman"/>
        </w:rPr>
        <w:t>...</w:t>
      </w:r>
      <w:r>
        <w:rPr>
          <w:rStyle w:val="cat-PassportDatagrp-21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17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17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6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16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16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4rplc-44"/>
          <w:rFonts w:ascii="Times New Roman" w:eastAsia="Times New Roman" w:hAnsi="Times New Roman" w:cs="Times New Roman"/>
        </w:rPr>
        <w:t>Букреева О.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45"/>
          <w:rFonts w:ascii="Times New Roman" w:eastAsia="Times New Roman" w:hAnsi="Times New Roman" w:cs="Times New Roman"/>
        </w:rPr>
        <w:t>...</w:t>
      </w:r>
      <w:r>
        <w:rPr>
          <w:rStyle w:val="cat-PassportDatagrp-21rplc-4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4rplc-47"/>
          <w:rFonts w:ascii="Times New Roman" w:eastAsia="Times New Roman" w:hAnsi="Times New Roman" w:cs="Times New Roman"/>
        </w:rPr>
        <w:t>Букреева О. 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left="106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Style w:val="cat-FIOgrp-19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4rplc-6">
    <w:name w:val="cat-FIO grp-14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2rplc-11">
    <w:name w:val="cat-Time grp-22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Addressgrp-7rplc-25">
    <w:name w:val="cat-Address grp-7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Addressgrp-8rplc-31">
    <w:name w:val="cat-Address grp-8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ExternalSystemDefinedgrp-23rplc-33">
    <w:name w:val="cat-ExternalSystemDefined grp-23 rplc-33"/>
    <w:basedOn w:val="DefaultParagraphFont"/>
  </w:style>
  <w:style w:type="character" w:customStyle="1" w:styleId="cat-PassportDatagrp-21rplc-34">
    <w:name w:val="cat-PassportData grp-21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ExternalSystemDefinedgrp-23rplc-37">
    <w:name w:val="cat-ExternalSystemDefined grp-23 rplc-37"/>
    <w:basedOn w:val="DefaultParagraphFont"/>
  </w:style>
  <w:style w:type="character" w:customStyle="1" w:styleId="cat-PassportDatagrp-21rplc-38">
    <w:name w:val="cat-PassportData grp-21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FIOgrp-14rplc-44">
    <w:name w:val="cat-FIO grp-14 rplc-44"/>
    <w:basedOn w:val="DefaultParagraphFont"/>
  </w:style>
  <w:style w:type="character" w:customStyle="1" w:styleId="cat-ExternalSystemDefinedgrp-23rplc-45">
    <w:name w:val="cat-ExternalSystemDefined grp-23 rplc-45"/>
    <w:basedOn w:val="DefaultParagraphFont"/>
  </w:style>
  <w:style w:type="character" w:customStyle="1" w:styleId="cat-PassportDatagrp-21rplc-46">
    <w:name w:val="cat-PassportData grp-21 rplc-46"/>
    <w:basedOn w:val="DefaultParagraphFont"/>
  </w:style>
  <w:style w:type="character" w:customStyle="1" w:styleId="cat-FIOgrp-14rplc-47">
    <w:name w:val="cat-FIO grp-14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19rplc-51">
    <w:name w:val="cat-FIO grp-19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