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5-26-396/2024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6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8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19rplc-8"/>
          <w:rFonts w:ascii="Times New Roman" w:eastAsia="Times New Roman" w:hAnsi="Times New Roman" w:cs="Times New Roman"/>
        </w:rPr>
        <w:t>...</w:t>
      </w:r>
      <w:r>
        <w:rPr>
          <w:rStyle w:val="cat-PassportDatagrp-17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гражданина РФ, проживающего по адресу: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1 ст. 15.33.2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5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директором </w:t>
      </w:r>
      <w:r>
        <w:rPr>
          <w:rStyle w:val="cat-OrganizationNamegrp-18rplc-1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нарушение требований пп.5 п.2. ст. 11, п.6 ст. 11 Закона 27-ФЗ «Об индивидуальном (персонифицированном) учете в системе обязательного пенсионно</w:t>
      </w:r>
      <w:r>
        <w:rPr>
          <w:rFonts w:ascii="Times New Roman" w:eastAsia="Times New Roman" w:hAnsi="Times New Roman" w:cs="Times New Roman"/>
        </w:rPr>
        <w:t xml:space="preserve">го страхования» не предоставил </w:t>
      </w:r>
      <w:r>
        <w:rPr>
          <w:rFonts w:ascii="Times New Roman" w:eastAsia="Times New Roman" w:hAnsi="Times New Roman" w:cs="Times New Roman"/>
        </w:rPr>
        <w:t xml:space="preserve">в установленный срок до </w:t>
      </w:r>
      <w:r>
        <w:rPr>
          <w:rStyle w:val="cat-Dategrp-7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</w:t>
      </w:r>
      <w:r>
        <w:rPr>
          <w:rFonts w:ascii="Times New Roman" w:eastAsia="Times New Roman" w:hAnsi="Times New Roman" w:cs="Times New Roman"/>
        </w:rPr>
        <w:t xml:space="preserve"> дате заключения (прекращения) и иных реквизитах договора ГПХ, а именно: сведения с 3 кадровыми мероприятиями от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Dategrp-9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Dategrp-10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одного застрахованного лица, в Отделение Фонда Пенсионного и социального страхования РФ по </w:t>
      </w:r>
      <w:r>
        <w:rPr>
          <w:rStyle w:val="cat-Addressgrp-1rplc-1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Сведения предоставлены </w:t>
      </w:r>
      <w:r>
        <w:rPr>
          <w:rStyle w:val="cat-Dategrp-11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1 ст.15.33.2 КоАП РФ, а именно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 xml:space="preserve">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5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15.33.2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134 от </w:t>
      </w:r>
      <w:r>
        <w:rPr>
          <w:rStyle w:val="cat-Dategrp-12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выпиской из ЕГРЮЛ, формой ЕФС-1, протоколом проверки отчетности, уведомлением о доставке, иными</w:t>
      </w:r>
      <w:r>
        <w:rPr>
          <w:rFonts w:ascii="Times New Roman" w:eastAsia="Times New Roman" w:hAnsi="Times New Roman" w:cs="Times New Roman"/>
        </w:rPr>
        <w:t xml:space="preserve"> материалами дела.</w:t>
      </w:r>
      <w:r>
        <w:rPr>
          <w:rFonts w:ascii="Times New Roman" w:eastAsia="Times New Roman" w:hAnsi="Times New Roman" w:cs="Times New Roman"/>
        </w:rPr>
        <w:tab/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5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</w:t>
      </w:r>
      <w:r>
        <w:rPr>
          <w:rFonts w:ascii="Times New Roman" w:eastAsia="Times New Roman" w:hAnsi="Times New Roman" w:cs="Times New Roman"/>
        </w:rPr>
        <w:t>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1 ст. 15.33.2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Протокол 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Рассматриваемым правонарушением не </w:t>
      </w:r>
      <w:r>
        <w:rPr>
          <w:rFonts w:ascii="Times New Roman" w:eastAsia="Times New Roman" w:hAnsi="Times New Roman" w:cs="Times New Roman"/>
        </w:rPr>
        <w:t>был причинен вред и не возникла</w:t>
      </w:r>
      <w:r>
        <w:rPr>
          <w:rFonts w:ascii="Times New Roman" w:eastAsia="Times New Roman" w:hAnsi="Times New Roman" w:cs="Times New Roman"/>
        </w:rPr>
        <w:t xml:space="preserve">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учетом изложенного, а также учитывая </w:t>
      </w:r>
      <w:r>
        <w:rPr>
          <w:rFonts w:ascii="Times New Roman" w:eastAsia="Times New Roman" w:hAnsi="Times New Roman" w:cs="Times New Roman"/>
        </w:rPr>
        <w:t>характер совершенного правонарушения,</w:t>
      </w:r>
      <w:r>
        <w:rPr>
          <w:rFonts w:ascii="Times New Roman" w:eastAsia="Times New Roman" w:hAnsi="Times New Roman" w:cs="Times New Roman"/>
        </w:rPr>
        <w:t xml:space="preserve"> мировой судья приходит к выводу, что в отношении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8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возможно применить положения ч. 1 ст. 4.1.1 КоАП РФ, заменив административное наказание в виде штрафа на предупреждение.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Руководствуясь ч.2 ст.3.4, ч. 1 ст. 4.1.1, ч.1 ст. 15.33.2,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8rplc-27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1 ст. 15.33.2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32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8rplc-6">
    <w:name w:val="cat-OrganizationName grp-18 rplc-6"/>
    <w:basedOn w:val="DefaultParagraphFont"/>
  </w:style>
  <w:style w:type="character" w:customStyle="1" w:styleId="cat-FIOgrp-14rplc-7">
    <w:name w:val="cat-FIO grp-14 rplc-7"/>
    <w:basedOn w:val="DefaultParagraphFont"/>
  </w:style>
  <w:style w:type="character" w:customStyle="1" w:styleId="cat-ExternalSystemDefinedgrp-19rplc-8">
    <w:name w:val="cat-ExternalSystemDefined grp-19 rplc-8"/>
    <w:basedOn w:val="DefaultParagraphFont"/>
  </w:style>
  <w:style w:type="character" w:customStyle="1" w:styleId="cat-PassportDatagrp-17rplc-9">
    <w:name w:val="cat-PassportData grp-17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FIOgrp-15rplc-12">
    <w:name w:val="cat-FIO grp-15 rplc-12"/>
    <w:basedOn w:val="DefaultParagraphFont"/>
  </w:style>
  <w:style w:type="character" w:customStyle="1" w:styleId="cat-OrganizationNamegrp-18rplc-13">
    <w:name w:val="cat-OrganizationName grp-18 rplc-13"/>
    <w:basedOn w:val="DefaultParagraphFont"/>
  </w:style>
  <w:style w:type="character" w:customStyle="1" w:styleId="cat-Dategrp-7rplc-14">
    <w:name w:val="cat-Date grp-7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Dategrp-9rplc-16">
    <w:name w:val="cat-Date grp-9 rplc-16"/>
    <w:basedOn w:val="DefaultParagraphFont"/>
  </w:style>
  <w:style w:type="character" w:customStyle="1" w:styleId="cat-Dategrp-10rplc-17">
    <w:name w:val="cat-Date grp-10 rplc-17"/>
    <w:basedOn w:val="DefaultParagraphFont"/>
  </w:style>
  <w:style w:type="character" w:customStyle="1" w:styleId="cat-Addressgrp-1rplc-18">
    <w:name w:val="cat-Address grp-1 rplc-18"/>
    <w:basedOn w:val="DefaultParagraphFont"/>
  </w:style>
  <w:style w:type="character" w:customStyle="1" w:styleId="cat-Dategrp-11rplc-19">
    <w:name w:val="cat-Date grp-11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Dategrp-12rplc-23">
    <w:name w:val="cat-Date grp-12 rplc-23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OrganizationNamegrp-18rplc-25">
    <w:name w:val="cat-OrganizationName grp-18 rplc-25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OrganizationNamegrp-18rplc-27">
    <w:name w:val="cat-OrganizationName grp-18 rplc-27"/>
    <w:basedOn w:val="DefaultParagraphFont"/>
  </w:style>
  <w:style w:type="character" w:customStyle="1" w:styleId="cat-FIOgrp-14rplc-28">
    <w:name w:val="cat-FIO grp-14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2rplc-30">
    <w:name w:val="cat-Address grp-2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FIOgrp-16rplc-32">
    <w:name w:val="cat-FIO grp-16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