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5-26-480/2025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директора </w:t>
      </w:r>
      <w:r>
        <w:rPr>
          <w:rStyle w:val="cat-OrganizationNamegrp-17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Масуфранова Г.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8rplc-8"/>
          <w:rFonts w:ascii="Times New Roman" w:eastAsia="Times New Roman" w:hAnsi="Times New Roman" w:cs="Times New Roman"/>
        </w:rPr>
        <w:t>...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УССР, гражданина РФ, зарегистрированного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7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п.2, п.3 ст. 11 Закона 27-ФЗ «Об индивидуальном (персонифицированном) учете в системе обязательного пенсионного страхования» не предоставил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установленный срок до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в</w:t>
      </w:r>
      <w:r>
        <w:rPr>
          <w:rFonts w:ascii="Times New Roman" w:eastAsia="Times New Roman" w:hAnsi="Times New Roman" w:cs="Times New Roman"/>
        </w:rPr>
        <w:t xml:space="preserve"> с 2 кадровыми мероприятиями «Начало Договора ГПХ» от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отношении </w:t>
      </w:r>
      <w:r>
        <w:rPr>
          <w:rFonts w:ascii="Times New Roman" w:eastAsia="Times New Roman" w:hAnsi="Times New Roman" w:cs="Times New Roman"/>
        </w:rPr>
        <w:t>2 застрахованных лиц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социального страхования РФ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1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непредставление в установленный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</w:t>
      </w:r>
      <w:r>
        <w:rPr>
          <w:rFonts w:ascii="Times New Roman" w:eastAsia="Times New Roman" w:hAnsi="Times New Roman" w:cs="Times New Roman"/>
        </w:rPr>
        <w:t xml:space="preserve">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3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OrganizationNamegrp-17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7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7"/>
          <w:rFonts w:ascii="Times New Roman" w:eastAsia="Times New Roman" w:hAnsi="Times New Roman" w:cs="Times New Roman"/>
        </w:rPr>
        <w:t>Масуфранова Г. 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Style w:val="cat-FIOgrp-15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8rplc-8">
    <w:name w:val="cat-ExternalSystemDefined grp-18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OrganizationNamegrp-17rplc-14">
    <w:name w:val="cat-OrganizationName grp-17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OrganizationNamegrp-17rplc-24">
    <w:name w:val="cat-OrganizationName grp-17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OrganizationNamegrp-17rplc-26">
    <w:name w:val="cat-OrganizationName grp-17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5rplc-31">
    <w:name w:val="cat-FIO grp-15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