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5-26-496/2025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4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ликвидатора </w:t>
      </w:r>
      <w:r>
        <w:rPr>
          <w:rStyle w:val="cat-OrganizationNamegrp-20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1rplc-8"/>
          <w:rFonts w:ascii="Times New Roman" w:eastAsia="Times New Roman" w:hAnsi="Times New Roman" w:cs="Times New Roman"/>
        </w:rPr>
        <w:t>...</w:t>
      </w:r>
      <w:r>
        <w:rPr>
          <w:rStyle w:val="cat-PassportDatagrp-19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3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и РФ, зарегистрированно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15.33.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</w:t>
      </w:r>
      <w:r>
        <w:rPr>
          <w:rFonts w:ascii="Times New Roman" w:eastAsia="Times New Roman" w:hAnsi="Times New Roman" w:cs="Times New Roman"/>
        </w:rPr>
        <w:t xml:space="preserve"> должностным лицом – </w:t>
      </w:r>
      <w:r>
        <w:rPr>
          <w:rFonts w:ascii="Times New Roman" w:eastAsia="Times New Roman" w:hAnsi="Times New Roman" w:cs="Times New Roman"/>
        </w:rPr>
        <w:t>ликвидатор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20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требований установленных п.1 ст. 24 Федерального закона 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1 полугодие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вины, а именно: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 11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007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</w:t>
      </w:r>
      <w:r>
        <w:rPr>
          <w:rFonts w:ascii="Times New Roman" w:eastAsia="Times New Roman" w:hAnsi="Times New Roman" w:cs="Times New Roman"/>
        </w:rPr>
        <w:t>ликвидатор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20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аналогичные правонарушения ранее не привлекал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ликвидатор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20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8rplc-31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OrganizationNamegrp-20rplc-6">
    <w:name w:val="cat-OrganizationName grp-20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21rplc-8">
    <w:name w:val="cat-ExternalSystemDefined grp-21 rplc-8"/>
    <w:basedOn w:val="DefaultParagraphFont"/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20rplc-14">
    <w:name w:val="cat-OrganizationName grp-20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OrganizationNamegrp-20rplc-25">
    <w:name w:val="cat-OrganizationName grp-20 rplc-25"/>
    <w:basedOn w:val="DefaultParagraphFont"/>
  </w:style>
  <w:style w:type="character" w:customStyle="1" w:styleId="cat-OrganizationNamegrp-20rplc-26">
    <w:name w:val="cat-OrganizationName grp-20 rplc-26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8rplc-31">
    <w:name w:val="cat-FIO grp-18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