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5-26-598/2024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Dategrp-8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1rplc-4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рассмотрев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должностного лица – 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лавы крестьянского (фермерского) хозяйства «Тенистое» </w:t>
      </w:r>
      <w:r>
        <w:rPr>
          <w:rStyle w:val="cat-FIOgrp-12rplc-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18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6rplc-8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ИНН 591908127438, </w:t>
      </w:r>
      <w:r>
        <w:rPr>
          <w:rStyle w:val="cat-PassportDatagrp-17rplc-9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Калиновское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4rplc-10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гражданина РФ, зарегистрированного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5rplc-1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, юридический адрес: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6rplc-1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совершении административного правонарушения, предусмотренного ч.1 </w:t>
      </w:r>
      <w:r>
        <w:rPr>
          <w:rFonts w:ascii="Times New Roman" w:eastAsia="Times New Roman" w:hAnsi="Times New Roman" w:cs="Times New Roman"/>
          <w:sz w:val="25"/>
          <w:szCs w:val="25"/>
        </w:rPr>
        <w:t>ст</w:t>
      </w:r>
      <w:r>
        <w:rPr>
          <w:rFonts w:ascii="Times New Roman" w:eastAsia="Times New Roman" w:hAnsi="Times New Roman" w:cs="Times New Roman"/>
          <w:sz w:val="25"/>
          <w:szCs w:val="25"/>
        </w:rPr>
        <w:t>.15.6 Кодекса РФ об административных правонарушениях,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Style w:val="cat-FIOgrp-13rplc-1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>г</w:t>
      </w:r>
      <w:r>
        <w:rPr>
          <w:rFonts w:ascii="Times New Roman" w:eastAsia="Times New Roman" w:hAnsi="Times New Roman" w:cs="Times New Roman"/>
          <w:sz w:val="25"/>
          <w:szCs w:val="25"/>
        </w:rPr>
        <w:t>лавой крестьянского (фермерского) хозяйства «Тенистое»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несвоевременно предоставил в </w:t>
      </w:r>
      <w:r>
        <w:rPr>
          <w:rFonts w:ascii="Times New Roman" w:eastAsia="Times New Roman" w:hAnsi="Times New Roman" w:cs="Times New Roman"/>
        </w:rPr>
        <w:t xml:space="preserve">ИФНС России по </w:t>
      </w:r>
      <w:r>
        <w:rPr>
          <w:rStyle w:val="cat-Addressgrp-7rplc-1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истребуемые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документы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Dategrp-9rplc-1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 срок предоставления котор</w:t>
      </w:r>
      <w:r>
        <w:rPr>
          <w:rFonts w:ascii="Times New Roman" w:eastAsia="Times New Roman" w:hAnsi="Times New Roman" w:cs="Times New Roman"/>
          <w:sz w:val="25"/>
          <w:szCs w:val="25"/>
        </w:rPr>
        <w:t>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установлен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позднее </w:t>
      </w:r>
      <w:r>
        <w:rPr>
          <w:rStyle w:val="cat-Dategrp-10rplc-16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right="23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Для рассмотрения дела об административном правонарушении </w:t>
      </w:r>
      <w:r>
        <w:rPr>
          <w:rStyle w:val="cat-FIOgrp-13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явилс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 времени и месте рассмотрения дела </w:t>
      </w:r>
      <w:r>
        <w:rPr>
          <w:rFonts w:ascii="Times New Roman" w:eastAsia="Times New Roman" w:hAnsi="Times New Roman" w:cs="Times New Roman"/>
          <w:sz w:val="25"/>
          <w:szCs w:val="25"/>
        </w:rPr>
        <w:t>извещен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надлежащим образом по адресу указанному в протоколе. Каких-либо заявлений и ходатайств мировому судье не представил.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ч.1 ст.15.6 КоАП РФ, а именно непредставление в установленный законодательством о налогах и сборах срок документов и иных сведений, необходимых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для осуществления налогового контроля. </w:t>
      </w:r>
    </w:p>
    <w:p>
      <w:pPr>
        <w:spacing w:before="0" w:after="0"/>
        <w:ind w:right="23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13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ч.1 ст.15.6 Кодекса РФ об административных правонарушениях,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вины правонарушителя.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характер совершенного </w:t>
      </w:r>
      <w:r>
        <w:rPr>
          <w:rStyle w:val="cat-FIOgrp-13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административного 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частью 1 статьи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15.21, 15.27.3, 15.30, 19.3, </w:t>
      </w:r>
      <w:r>
        <w:rPr>
          <w:rFonts w:ascii="Times New Roman" w:eastAsia="Times New Roman" w:hAnsi="Times New Roman" w:cs="Times New Roman"/>
          <w:sz w:val="25"/>
          <w:szCs w:val="25"/>
        </w:rPr>
        <w:t>19.4.3, 19.5, 19.5.1, 19.6, 19.8 - 19.8.2, 19.23, частями 2 и 3 статьи 19.27, статьями 19.28, 19.29, 19.30, 19.33, 19.34, 20.3, частью 2 статьи 20.28 настоящего Кодекса (часть 2 статьи 4.1.1).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отсутствии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имущественного ущерба.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Часть 1 ст. 15.6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 об административном правонарушении не содержат сведений о том, что названное лицо ранее привлекалось к административной ответственности.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Рассматриваемым правонарушением не </w:t>
      </w:r>
      <w:r>
        <w:rPr>
          <w:rFonts w:ascii="Times New Roman" w:eastAsia="Times New Roman" w:hAnsi="Times New Roman" w:cs="Times New Roman"/>
          <w:sz w:val="25"/>
          <w:szCs w:val="25"/>
        </w:rPr>
        <w:t>был причинен вред и не возникла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угроза его причинения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имущественного ущерба.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изложенного, а также учитывая характер совершенного правонарушения, мировой судья приходит к выводу, что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главы крестьянского (фе</w:t>
      </w:r>
      <w:r>
        <w:rPr>
          <w:rFonts w:ascii="Times New Roman" w:eastAsia="Times New Roman" w:hAnsi="Times New Roman" w:cs="Times New Roman"/>
          <w:sz w:val="25"/>
          <w:szCs w:val="25"/>
        </w:rPr>
        <w:t>рмерского) хозяйства «Тенистое»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3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возможно применить положения ч. 1 ст. 4.1.1 КоАП РФ, заменив административное наказание в виде штрафа на предупреждение.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Руководствуясь ч.2 ст.3.4, ч. 1 ст. 4.1.1,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ст. 15.6,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29.9, 29.10 Кодекса РФ об административных правонарушениях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ПОСТАНОВИЛ: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должностное лицо – </w:t>
      </w:r>
      <w:r>
        <w:rPr>
          <w:rFonts w:ascii="Times New Roman" w:eastAsia="Times New Roman" w:hAnsi="Times New Roman" w:cs="Times New Roman"/>
          <w:sz w:val="25"/>
          <w:szCs w:val="25"/>
        </w:rPr>
        <w:t>главу крестьянского (фермерского) хозяйства «Тенистое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» </w:t>
      </w:r>
      <w:r>
        <w:rPr>
          <w:rStyle w:val="cat-FIOgrp-12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виновн</w:t>
      </w:r>
      <w:r>
        <w:rPr>
          <w:rFonts w:ascii="Times New Roman" w:eastAsia="Times New Roman" w:hAnsi="Times New Roman" w:cs="Times New Roman"/>
          <w:sz w:val="25"/>
          <w:szCs w:val="25"/>
        </w:rPr>
        <w:t>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ч. 1 ст. 15.33.2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и назначить наказание с учетом положений ст. 4.1.1 КоАП РФ в виде 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2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2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spacing w:before="0" w:after="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</w:t>
      </w:r>
      <w:r>
        <w:rPr>
          <w:rStyle w:val="cat-FIOgrp-15rplc-26"/>
          <w:rFonts w:ascii="Times New Roman" w:eastAsia="Times New Roman" w:hAnsi="Times New Roman" w:cs="Times New Roman"/>
          <w:sz w:val="25"/>
          <w:szCs w:val="25"/>
        </w:rPr>
        <w:t>фио</w:t>
      </w:r>
    </w:p>
    <w:p>
      <w:pPr>
        <w:spacing w:before="0" w:after="0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1rplc-4">
    <w:name w:val="cat-FIO grp-1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18rplc-7">
    <w:name w:val="cat-ExternalSystemDefined grp-18 rplc-7"/>
    <w:basedOn w:val="DefaultParagraphFont"/>
  </w:style>
  <w:style w:type="character" w:customStyle="1" w:styleId="cat-PassportDatagrp-16rplc-8">
    <w:name w:val="cat-PassportData grp-16 rplc-8"/>
    <w:basedOn w:val="DefaultParagraphFont"/>
  </w:style>
  <w:style w:type="character" w:customStyle="1" w:styleId="cat-PassportDatagrp-17rplc-9">
    <w:name w:val="cat-PassportData grp-17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3rplc-13">
    <w:name w:val="cat-FIO grp-13 rplc-13"/>
    <w:basedOn w:val="DefaultParagraphFont"/>
  </w:style>
  <w:style w:type="character" w:customStyle="1" w:styleId="cat-Addressgrp-7rplc-14">
    <w:name w:val="cat-Address grp-7 rplc-14"/>
    <w:basedOn w:val="DefaultParagraphFont"/>
  </w:style>
  <w:style w:type="character" w:customStyle="1" w:styleId="cat-Dategrp-9rplc-15">
    <w:name w:val="cat-Date grp-9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2rplc-22">
    <w:name w:val="cat-FIO grp-12 rplc-22"/>
    <w:basedOn w:val="DefaultParagraphFont"/>
  </w:style>
  <w:style w:type="character" w:customStyle="1" w:styleId="cat-Addressgrp-1rplc-23">
    <w:name w:val="cat-Address grp-1 rplc-23"/>
    <w:basedOn w:val="DefaultParagraphFont"/>
  </w:style>
  <w:style w:type="character" w:customStyle="1" w:styleId="cat-Addressgrp-2rplc-24">
    <w:name w:val="cat-Address grp-2 rplc-24"/>
    <w:basedOn w:val="DefaultParagraphFont"/>
  </w:style>
  <w:style w:type="character" w:customStyle="1" w:styleId="cat-Addressgrp-1rplc-25">
    <w:name w:val="cat-Address grp-1 rplc-25"/>
    <w:basedOn w:val="DefaultParagraphFont"/>
  </w:style>
  <w:style w:type="character" w:customStyle="1" w:styleId="cat-FIOgrp-15rplc-26">
    <w:name w:val="cat-FIO grp-15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