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9450B8">
        <w:rPr>
          <w:b w:val="0"/>
        </w:rPr>
        <w:t>7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7567B9">
        <w:rPr>
          <w:b w:val="0"/>
        </w:rPr>
        <w:t>9</w:t>
      </w:r>
      <w:r w:rsidR="00745F35">
        <w:rPr>
          <w:b w:val="0"/>
        </w:rPr>
        <w:t>-</w:t>
      </w:r>
      <w:r w:rsidR="0089004C">
        <w:rPr>
          <w:b w:val="0"/>
        </w:rPr>
        <w:t>3</w:t>
      </w:r>
      <w:r w:rsidR="007567B9">
        <w:rPr>
          <w:b w:val="0"/>
        </w:rPr>
        <w:t>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786" w:rsidP="002377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06.05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3778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224012527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 w:rsidR="007567B9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567B9">
        <w:rPr>
          <w:rFonts w:ascii="Times New Roman" w:eastAsia="Times New Roman" w:hAnsi="Times New Roman"/>
          <w:sz w:val="24"/>
          <w:szCs w:val="24"/>
          <w:lang w:eastAsia="ru-RU"/>
        </w:rPr>
        <w:t>24.02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7567B9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7567B9">
        <w:rPr>
          <w:rFonts w:ascii="Times New Roman" w:eastAsia="Times New Roman" w:hAnsi="Times New Roman"/>
          <w:sz w:val="24"/>
          <w:szCs w:val="24"/>
          <w:lang w:eastAsia="ru-RU"/>
        </w:rPr>
        <w:t>шесть тысяч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23778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567B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37786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6E0DF4"/>
    <w:rsid w:val="00700E77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