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5-38-174/2017</w:t>
      </w:r>
    </w:p>
    <w:p w:rsidR="00A77B3E">
      <w:r>
        <w:t xml:space="preserve">ПОСТАНОВЛЕНИЕ </w:t>
      </w:r>
    </w:p>
    <w:p w:rsidR="00A77B3E">
      <w:r>
        <w:t>25 мая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УССР, гражданки Российской Федерации, работающей главным бухгалтером наименование организации,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главным бухгалтером наименование организации,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 предоставлен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 xml:space="preserve">В судебное заседание фио не явилась, предоставила заявление, в котором указала, что с протоколом об административном правонарушении согласна и просила рассмотреть дело в свое отсутствие. </w:t>
      </w:r>
    </w:p>
    <w:p w:rsidR="00A77B3E">
      <w:r>
        <w:t>Исследовав материалы дела, мировой судья считает достоверно установленным, фио как главный бухгалтер 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ей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