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5-38-256/2017</w:t>
      </w:r>
    </w:p>
    <w:p w:rsidR="00A77B3E">
      <w:r>
        <w:t xml:space="preserve">ПОСТАНОВЛЕНИЕ </w:t>
      </w:r>
    </w:p>
    <w:p w:rsidR="00A77B3E">
      <w:r>
        <w:t>21 июня 2017 года                     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председателем правления ТСН «Шанс»,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...,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4 квартал 2016 года.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4 квартал 2016 года по ..., предоставлен с нарушением сроков представления - дата, предельный срок предоставления которой не позднее 03.04.2017 года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ТСН «Шанс», расположенное по адресу: адрес.</w:t>
      </w:r>
    </w:p>
    <w:p w:rsidR="00A77B3E">
      <w:r>
        <w:t>В суд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председатель правления ТСН «Шанс»,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4 квартал 2016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