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5-38-292/2017</w:t>
      </w:r>
    </w:p>
    <w:p w:rsidR="00A77B3E">
      <w:r>
        <w:t xml:space="preserve">ПОСТАНОВЛЕНИЕ </w:t>
      </w:r>
    </w:p>
    <w:p w:rsidR="00A77B3E">
      <w:r>
        <w:t>10 июля 2017 года                     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АРК адрес, гражданки Российской Федерации, работающей бухгалтером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бухгалтером наименование организации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 с нарушением сроков представления - дата, предельный срок предоставления которой не позднее 02.05.2017 года (включительно).</w:t>
      </w:r>
    </w:p>
    <w:p w:rsidR="00A77B3E">
      <w:r>
        <w:t>Временем совершения правонарушения является 03.05.2017г.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 фио вину в совершении инкриминируемого административного правонарушения признала, указала, что предоставляла расчет сумм налога (форма 6-НДФЛ) 27.04.2017 года в электронном виде, однако ей было отказано в приеме расчета в связи с отсутствием у нее сертификата на электронную подпись.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фио как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1 квартал 2017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переводе работника на другую работу, договором на оказание услуг по ведению бухгалтерского учета,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