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5-38-436/2017</w:t>
      </w:r>
    </w:p>
    <w:p w:rsidR="00A77B3E">
      <w:r>
        <w:t xml:space="preserve">ПОСТАНОВЛЕНИЕ </w:t>
      </w:r>
    </w:p>
    <w:p w:rsidR="00A77B3E">
      <w:r>
        <w:t xml:space="preserve">27 сентября 2017 года                                      </w:t>
        <w:tab/>
        <w:t>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......, зарегистрированного и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..., совершил нарушение законодательства о налогах и сборах, в части непредставления в установленный пунктом 3 ст. 80 Налогового кодекса РФ срок сведений о среднесписочной численности работников по состоянию на 01.01.2017 года.</w:t>
      </w:r>
    </w:p>
    <w:p w:rsidR="00A77B3E">
      <w:r>
        <w:t>Фактически сведения о среднесписочной численности работников за 2016 год по ..., предоставлены с нарушением сроков представления - 28.01.2017 года, предельный срок предоставления которой не позднее 20.01.2017 года (включительно).</w:t>
      </w:r>
    </w:p>
    <w:p w:rsidR="00A77B3E">
      <w:r>
        <w:t>Временем совершения правонарушения является 21.01.2017г. Местом совершения правонарушения является ...адрес, расположенное по адресу: адрес.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</w:t>
      </w:r>
    </w:p>
    <w:p w:rsidR="00A77B3E">
      <w:r>
        <w:t>Выслушав привлекаемое к административной ответственности лицо, исследовав материалы дела, мировой судья считает достоверно установленным, что фио как атаман ...адрес,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3 ст. 80 Налогового кодекса РФ срок сведений о среднесписочной численности работников за 2016 год.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Формы по КНД 1110018 от 10.03.2017 года.</w:t>
      </w:r>
    </w:p>
    <w:p w:rsidR="00A77B3E">
      <w:r>
        <w:t xml:space="preserve"> Согласно ч. 3 ст. 80 НК РФ,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8 дней,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        Освободить фио от административной ответственности, предусмотренной ч. 1 ст. 15.6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ч. 1 ст. 15.6 КоАП РФ в отношении фио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