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5-38-472/2017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09 октября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..., паспортные данныеадрес УЗССР, гражданина РФ, не работающего, ...,</w:t>
      </w:r>
    </w:p>
    <w:p w:rsidR="00A77B3E">
      <w:r>
        <w:t>по ч. 1 ст. 14.1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 возле дома № 59Е по адрес,  адрес, фио осуществлял  предпринимательскую деятельность по перевозке пассажиров и багажа на автомобиле «Шевроле Ланос», государственный регистрационный знак ..., без государственной регистрации в качестве индивидуального предпринимателя.</w:t>
      </w:r>
    </w:p>
    <w:p w:rsidR="00A77B3E">
      <w:r>
        <w:t>Своими действиями фио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 Пояснил, что не является индивидуальным предпринимателем, однако с целью получения дохода периодически осуществлял деятельность по перевозке пассажиров и багажа.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фототаблицей,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 административного штрафа установленного санкцией ч.1 ст. 14.1 КоАП РФ.</w:t>
      </w:r>
    </w:p>
    <w:p w:rsidR="00A77B3E">
      <w:r>
        <w:t xml:space="preserve">Руководствуясь ст. ст. ст. 14.1 ч.1, 29.9.,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...фио  признать виновным в совершении правонарушения, предусмотренного ч. 1 ст. 14.1 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                      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