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5-38-479/2017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Кочетова Сергея Александровича, ...,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28.09.2017г. в 11 час. 10 мин. Кочетов С.А. в общественном месте по адресу: Республика Крым, г. Евпатория, ул. Киевская, 57, оказывал платные услуги по перевозке людей на личном автотранспорте марки ..., государственный номерной знак ..., без государственной регистрации в качестве индивидуального предпринимателя, в результате чего совершил административное правонарушение, предусмотренное ч. 1 ст. 14.1 КоАП РФ,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Кочетов С.А. 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Кочетова С.А.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Кочетова С.А. в совершении правонарушения подтверждается: сведениями протокола об административном правонарушении, фототаблицей, копией свидетельства о регистрации ТС, копией водительского удостоверения, письменными объяснениями Сусь Е.И.,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 установленного санкцией ч.1 ст. 14.1 КоАП РФ.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Кочетова Сергея Александровича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18880491170001981301,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