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52- 295/2017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адрес, в отношении:</w:t>
      </w:r>
    </w:p>
    <w:p w:rsidR="00A77B3E">
      <w:r>
        <w:t xml:space="preserve">фио, паспортные данныеадрес, гражданина Российской Федерации, проживающего и зарегистрированного по адресу: адрес, адрес,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(л.д.4)</w:t>
      </w:r>
    </w:p>
    <w:p w:rsidR="00A77B3E">
      <w:r>
        <w:t>· постановлением старшего УУП ОМВД России по адрес от                        дата № 102324 (л.д.5).</w:t>
      </w:r>
    </w:p>
    <w:p w:rsidR="00A77B3E">
      <w:r>
        <w:t xml:space="preserve">При этом материалы дела свидетельствуют о том, что постановлением старшего УУП ОМВД России по адрес от дата, фио признан виновным в совершении административного правонарушения, предусмотренного ст. 20.20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                  Обстоятельств, отягчающих наказание фио, судом не установлено.</w:t>
      </w:r>
    </w:p>
    <w:p w:rsidR="00A77B3E"/>
    <w:p w:rsidR="00A77B3E"/>
    <w:p w:rsidR="00A77B3E"/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данныеадрес, гражданина Российской Федерации, проживающего и зарегистрированного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                   25 (двадцать пять)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