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5-52-484/2017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генерального директора наименование организации фио, паспортные данные, гражданина России, паспортные данные, проживающего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протоколу, об административном правонарушении № 45 от дата, генеральный директор наименование организации фио, нарушил срок представления сведений о застрахованных лицах по форме СЗВ-М за дата. Генеральный директор наименование организации фио по ТКС в ОПФР в адрес предоставил сведения о застрахованных лицах дата, с нарушением установленного срока на восемь дней. Своими действиями генеральный директор наименование организации, совершил административное правонарушение, предусмотренное ст.15.33.2 КоАП РФ.  </w:t>
      </w:r>
    </w:p>
    <w:p w:rsidR="00A77B3E">
      <w:r>
        <w:t xml:space="preserve">  В судебное заседание правонарушитель фио не явился, о времени и месте рассмотрения дела извещен надлежащим образом, ходатайство об отложении рассмотрения дела не представил, суд считает возможным в порядке ч.2 ст. 25.1 КоАП РФ, рассмотреть дело в его отсутствие.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генерального директора наименование организации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45 от дата, (л.д.1);</w:t>
      </w:r>
    </w:p>
    <w:p w:rsidR="00A77B3E">
      <w:r>
        <w:t>· актом об обнаружении фактов, свидетельствующих о нарушении законодательства РФ об индивидуальном (персонифицированном) учете в системе обязательного пенсионного страхования от дата (л.д.3);</w:t>
      </w:r>
    </w:p>
    <w:p w:rsidR="00A77B3E">
      <w:r>
        <w:t>· выпиской из Единого государственного реестра юридических лиц  (л.д.7-8);</w:t>
      </w:r>
    </w:p>
    <w:p w:rsidR="00A77B3E">
      <w:r>
        <w:t>· сведениями о застрахованных лицах за дата предоставленными                               генеральным директором ООО» СК- Масштаб» фио (л.д.7);</w:t>
      </w:r>
    </w:p>
    <w:p w:rsidR="00A77B3E">
      <w:r>
        <w:t>· извещением о доставке, согласно которому, Отдел Пенсионного фонда в адрес получил от генерального директора наименование организации фио СЗВ-М – дата (л.д.4).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>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Обстоятельств, смягчающих наказание фио, судом не установлено.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  фио административное наказание в виде административного штрафа, в минимальном размере.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генерального директора наименование организации фио, паспортные данные, проживающего по адресу: адрес, адрес, признать виновным в совершении правонарушения, предусмотренного ст. 15.33.2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