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AA019A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A79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19A">
        <w:rPr>
          <w:rFonts w:ascii="Times New Roman" w:eastAsia="Times New Roman" w:hAnsi="Times New Roman" w:cs="Times New Roman"/>
          <w:sz w:val="24"/>
          <w:szCs w:val="24"/>
          <w:lang w:eastAsia="ru-RU"/>
        </w:rPr>
        <w:t>9-97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AA019A">
        <w:rPr>
          <w:rFonts w:ascii="Times New Roman" w:eastAsia="Times New Roman" w:hAnsi="Times New Roman" w:cs="Times New Roman"/>
          <w:sz w:val="24"/>
          <w:szCs w:val="24"/>
          <w:lang w:eastAsia="ru-RU"/>
        </w:rPr>
        <w:t>5002520103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982AB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Pr="00982AB2" w:rsidR="00982AB2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="00C4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AB2" w:rsidR="00982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="0035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Витальевича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059E8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УФК по Республике Крым (Министерство юстиции Республики Крым)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ОКЦ N 7 ЮГУ Банка России//УФК по Республике Крым г. Симферополь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КПП 910201001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БИК 043510001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EC35D9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Сводного реестра 35220323,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56B73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2AB2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019A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1200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44A8-5DB2-4CA2-A55F-7C5082E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