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11      –</w:t>
      </w:r>
    </w:p>
    <w:p w:rsidR="00A77B3E">
      <w:r>
        <w:t xml:space="preserve">                                                                                       Дело № 5-65-45/2017                                            </w:t>
      </w:r>
    </w:p>
    <w:p w:rsidR="00A77B3E"/>
    <w:p w:rsidR="00A77B3E">
      <w:r>
        <w:t>П О С Т А Н О В Л Е Н И Е</w:t>
      </w:r>
    </w:p>
    <w:p w:rsidR="00A77B3E"/>
    <w:p w:rsidR="00A77B3E">
      <w:r>
        <w:t>10 июля 2017 года</w:t>
        <w:tab/>
        <w:t xml:space="preserve">                     </w:t>
        <w:tab/>
        <w:tab/>
        <w:t xml:space="preserve">                           п.Нижнегорский</w:t>
      </w:r>
    </w:p>
    <w:p w:rsidR="00A77B3E">
      <w:r>
        <w:t xml:space="preserve"> </w:t>
        <w:tab/>
        <w:t xml:space="preserve">    Мировой судья судебного участка № 65 ...Н судебного района (Нижнегорский муниципальный район) Республики Крым Тайганская Т.В., рассмотрев дело об административном правонарушении, поступившее из ОМВД России по адрес (Отделение ОГИБДД), в отношении юридического лица   </w:t>
      </w:r>
    </w:p>
    <w:p w:rsidR="00A77B3E">
      <w:r>
        <w:t xml:space="preserve">Администрации ...Н...НСП...НСП НР РК...Н,  юридический адрес: ...адрес,ОГРН ...№, </w:t>
      </w:r>
    </w:p>
    <w:p w:rsidR="00A77B3E">
      <w:r>
        <w:t xml:space="preserve">о привлечении к административной ответственности за правонарушение, предусмотренное ст. 12.34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Юридическое лицо - администрация ...Н...НСП...НСП НР РКадрес...Н, дата в время являясь юридическим лицом, ответственным за содержание адрес и адрес, не выполнили требования по обеспечению безопасности дорожного движения при содержании дороги в соответствии с требованиями стандартов, норм и правил (ГОСТ Р 52289-2004, ГОСТ Р 50597-93), а именно отсутствие дорожных знаков 2.1 «Главная дорога», 5.19.1 (2) «Пешеходный переход» имеются дефекты дорожного покрытия (выбоина), занижена обочина, отсутствует горизонтальная дорожная разметка в полном объеме, отсутствует треугольник видимости, чем нарушило п. 13 ОП ПДД РФ, то есть совершило правонарушение, ответственность за которое предусмотрена ч. 1 ст. 12.34 КоАП РФ.</w:t>
      </w:r>
    </w:p>
    <w:p w:rsidR="00A77B3E">
      <w:r>
        <w:t xml:space="preserve">  В судебном заседании представитель администрация ...Н...НСП...НСП НР РКадрес...Н – Терещенко О.В. вину не признала и пояснила, что при указанных в протоколе обстоятельствах, в отношении Администрации ...Н...НСП...НСП НР РКадрес...Н был составлен протокол. Администрация ...Н...НСП является главным распорядителем бюджетных средств ...Н...НСП. В соответствии со ст. 158 Бюджетного кодекса Российской Федерации главный распорядитель бюджетных средств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Постановлением администрации ...Н...НСП от дата № 829 утверждена муниципальная программа адрес хорошие дороги и безопасное движение». Указанным постановлением установлено финансирование расходов на реализацию муниципальной программы адрес хорошие дороги и безопасное движение» осуществлять в пределах средств, предусмотренных в бюджете ...Н...НСП на указанные цели. В соответствии с перечнем мероприятий муниципальной программы на приобретение, установку и замену дорожных знаков запланированы расходы на приобретение, установку и замену дорожных знаков, светофоров, опор для знаков и ограждений пешеходных переходов в размере сумма на дата, из них на приобретение дорожных знаков- сумма, на приобретение опор для дорожных знаков- сумма, на приобретение ограждений пешеходных переходов- сумма. Администрацией ...Н...НСП в дата приобретен 61 дорожный знак на сумму сумма. Все закупленные дорожные знаки были установлены в первую очередь в районе детских образовательных организаций. Согласно указанной программы на текущее содержание автомобильных дорог местного значения запланировано сумма, из них ...сумма на ямочный ремонт асфальтобетонного покрытия. дата администрацией ...Н...НСП заключен договор с наименование организации на проведение ямочного ремонта асфальтобетонного покрытия автомобильной дороги общего пользования находящейся в собственности муниципального образования адрес по адрес, Придорожная ...Надрес на сумму 99795рублей 57 копеек. По состоянию на дата администрацией поселения были израсходованы все средства, предусмотренные муниципальной программой адрес хорошие дороги и безопасное движение». Считают, что вина администрации ...Н...НСП в совершении административного правонарушения, предусмотренного ст. 12.34 КоАП РФ отсутствует, что в силу п. 2 ч. 1 ст. 24.5, п. 2 ч. 1 ст. 29.9  КоАП РФ, является основанием прекращения производства по делу об административном правонарушении в связи с отсутствием состава административного правонарушения. </w:t>
      </w:r>
    </w:p>
    <w:p w:rsidR="00A77B3E">
      <w:r>
        <w:t>Выслушав представителя Администрации ...Надрес Терещенко О.В., исследовав материалы дела, суд пришел к выводу о наличии в действиях Юридического лица – Администрации ...Н...НСПадрес...Н состава правонарушения, предусмотренного ст. 12.34 ч.1 КоАП РФ, исходя из следующего.</w:t>
      </w:r>
    </w:p>
    <w:p w:rsidR="00A77B3E">
      <w:r>
        <w:tab/>
        <w:t>Из материалов дела усматривается, что определением 68 ОВ телефон о возбуждении дела об административном правонарушении от дата установлено, что дата в время при обследовании места совершения ДТП в адрес, перекресток адрес. Придорожной выявлено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РФ от дата № 1090, т.е. лицо, ответственное за содержание адрес и Придорожной, не соблюдены требования по обеспечению безопасности дорожного движения при содержании дороги в соответствии с требованиями стандартов, норм и правил ГОСТ Р телефон, ГОСТ Р телефон, а именно: отсутствие дорожных знаков в необходимых местах, неправильное применение  дорожных знаков, наличие дефектов дорожного покрытия, занижение обочины (л.д.6).</w:t>
      </w:r>
    </w:p>
    <w:p w:rsidR="00A77B3E">
      <w:r>
        <w:t xml:space="preserve"> </w:t>
        <w:tab/>
        <w:t>Согласно акта выявленных недостатков в эксплуатации состояния автомобильной дороги (улицы), железнодорожного переезда от дата выявлены нарушение, а именно: в нарушение требований п. 5.3.2 ГОСТ Р телефон отсутствует дорожный знак 2.1 адрес, в нарушение требований п.5.6.24 ГОСТ Р телефон отсутствует дорожный знак 5.19.1 «Пешеходный переход» и не правильно применены дородные знаки 5.19.2 «Пешеходный переход», в нарушение требований п.3.1.2 ГОСТ Р телефон имеется дефекты дорожного покрытия 100х70х8 см занижена обочина 10 см, что подтверждается фототаблицей (л.д.2-5).</w:t>
      </w:r>
    </w:p>
    <w:p w:rsidR="00A77B3E">
      <w:r>
        <w:t>Согласно акта о выявлении недостатках в эксплуатационном состоянии автомобильной дороги ( улицы) от дата, выявлены недостатки, а именно: в нарушение требований п. 4.2.2 ГОСТ Р телефон отсутствует горизонтальная дорожная разметка 1.1., в нарушение п. 6.23 СНиП 2.07.01-89 «Градостроительство. Планировка и застройка городских и сельских поселений» отсутствует треугольник видимости (л.д.10).</w:t>
      </w:r>
    </w:p>
    <w:p w:rsidR="00A77B3E">
      <w:r>
        <w:t xml:space="preserve">    Согласно протоколу об административном правонарушении 68 ПЮ телефон от дата составлено в отношении Администрации ...Н...НСПадрес...Н, составлено по тем основаниям, что дата в время являясь юридическим лицом, ответственным за содержание адрес и адрес, не выполнили требования по обеспечению безопасности дорожного движения при содержании дороги в соответствии с требованиями стандартов, норм и правил (ГОСТ Р телефон, ГОСТ Р 50597-93), а именно отсутствие дорожных знаков 2.1 адрес, 5.19.1 (2) «Пешеходный переход» имеются дефекты дорожного покрытия (выбоина), занижена обочина, отсутствует горизонтальная дорожная разметка в полном объеме, отсутствует треугольник видимости, чем нарушило п. 13 адрес.</w:t>
      </w:r>
    </w:p>
    <w:p w:rsidR="00A77B3E">
      <w:r>
        <w:t xml:space="preserve">          Как усматривается из пояснений главы администрации ...Н...НСПадрес фио, с протоколом был не согласен и дополнил, что меры приняты в объемах выделенного финансирования (л.д.35).</w:t>
      </w:r>
    </w:p>
    <w:p w:rsidR="00A77B3E">
      <w:r>
        <w:tab/>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ab/>
        <w:t>Согласно ст. 1.2 Кодекса Российской Федерации об административных правонарушения,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ab/>
        <w:t>Обеспечение безопасности дорожного движения является составной частью задач обеспечения личной безопасности.</w:t>
      </w:r>
    </w:p>
    <w:p w:rsidR="00A77B3E">
      <w:r>
        <w:tab/>
        <w:t>Правовые основы обеспечения безопасности дорожного движения на территории Российской Федерации регулируются Федеральным законом от 10 декабря 1995 года № 196-ФЗ «О безопасности дорожного движения»,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ab/>
        <w:t>Согласно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утвержденный Постановлением Госстандарта России от 11 октября 1993 года № 221, настоящий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 Установленные стандартом требования должны обеспечиваться организациями, в ведении которых находятся автомобильные дороги, а также улицы и дороги городов и других населенных пунктов.</w:t>
      </w:r>
    </w:p>
    <w:p w:rsidR="00A77B3E">
      <w:r>
        <w:t>В случае, когда эксплуатационное состояние дорог и улиц не отвечает требованиям настоящего стандарта, на них должны быть введены временные ограничения, обеспечивающие безопасность движения, вплоть до полного запрещения движения. 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A77B3E">
      <w:r>
        <w:t>Согласно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утвержденный Приказом Ростехрегулирования от 15 декабря № 120-ст, 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 утвержден Постановлением Правительства Российской Федерации от 14 ноября 2009 года № 928.  Настоящий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rsidR="00A77B3E">
      <w:r>
        <w:t xml:space="preserve">Судом установлено, что согласно ЕГОЮЛ, Администрация ...Н...НСП...НСП НР РКадрес...Н является юридическим лицом, ОГРН ...№, ИНН/КПП: ...ххх, зарегистрированным дата. </w:t>
      </w:r>
    </w:p>
    <w:p w:rsidR="00A77B3E">
      <w:r>
        <w:t xml:space="preserve">Согласно статьи 49 п. 4 Устава муниципального образования ...Н...НСП...НСП НР РКадрес...Н, полномочиями администрации ...Н...НСП  являются, осуществление дорожной деятельности в отношении автомобильных дорог местного значения в границах населенных пунктов Поселения, обеспечения безопасности дорожного движения на них; осуществляет муниципальный контроль за сохранностью автомобильных дорог местного значения в границах населенных пунктов поселения; осуществляет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                  </w:t>
      </w:r>
    </w:p>
    <w:p w:rsidR="00A77B3E">
      <w:r>
        <w:t>Статьи 12.34 ч.1 КоАП РФ, предусматривает наказание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У суда не имеется оснований не доверять доказательствам, собранным по делу, все доказательства суд в силу ч. 2 ст. 26.2 КоАП РФ признает допустимыми.</w:t>
      </w:r>
    </w:p>
    <w:p w:rsidR="00A77B3E">
      <w:r>
        <w:t>Таким образом, обязанность по содержанию спорной территории возложена на Администрацию ...Н...НСП...НСП НР РКадрес...Н, доказательств опровергающих данный факт, суду не предоставлено, также не предоставлено того доказательства, что приняты все меры по содержанию дорог в пределах выделенных средств, или обратного, что были затребованы дополнительные средства для устранения указанных причин, данные документы также не предоставлены.</w:t>
      </w:r>
    </w:p>
    <w:p w:rsidR="00A77B3E">
      <w:r>
        <w:t>Согласно предоставленных документов, а именно: договора № 2 ямочного ремонта асфальтобетонного покрытия от дата, установлено, что общая цена договора составила сумма, срок выполнения указанного договора установлен  п.4.1 до дата; из муниципальной программы ...Н...НСПадрес Нижнегорский хорошие дороги и безопасное движение» на дата, утверждено сумма, согласно универсального передаточного документа, счета фактуры № 77 и счета на оплату № 109 от дата, на основании договора № 9 от дата, установлено, что на знаки потрачено сумма, подтверждения того, что остальные денежные средства были израсходованы и на счету Администрации ...Н...НСП отсутствовали денежные средства, суду не предоставлено.</w:t>
      </w:r>
    </w:p>
    <w:p w:rsidR="00A77B3E">
      <w:r>
        <w:t>Также не предоставлено того доказательства, что главной муниципального образования вносились или направлялись в соответствии с порядком и сроками составления проекта соответствующего местного бюджета предложения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w:t>
      </w:r>
    </w:p>
    <w:p w:rsidR="00A77B3E">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Статьей 12 Федерального закона от 10.12.1995г. N 196-ФЗ "О безопасности дорожного движения" установлено, что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Согласно ст. 3 Федерального закона от 08.11.2007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B3E">
      <w:r>
        <w:t>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 утвержден Постановлением Правительства РФ от 14 ноября 2009г. N 928.</w:t>
      </w:r>
    </w:p>
    <w:p w:rsidR="00A77B3E">
      <w:r>
        <w:t>Минимально необходимые требования к автомобильным дорогам, которые должны соблюдаться в процессе их строительства, реконструкции, капитального ремонта и эксплуатации, установлены в Техническом регламенте Таможенного союза "Безопасность автомобильных дорог". В нем также определены требования к дорожным сооружениям и техническим средствам организации дорожного движения.</w:t>
      </w:r>
    </w:p>
    <w:p w:rsidR="00A77B3E">
      <w:r>
        <w:t>В соответствии с решением Коллегии Евразийской экономической комиссии от 18.09.2012г. N 159 соблюдение требований упомянутого Регламента обеспечивается выполнением требований ГОСТ 50597-93. Данный ГОСТ устанавливает требования к эксплуатационному состоянию автомобильных дорог, улиц и дорог городов и других населенных пунктов, предельно допустимые повреждения покрытия и сроки их ликвидации, а также сроки ликвидации зимней скользкости, уборки тротуаров и пешеходных дорожек. Кроме того, стандартом предусмотрены требования к техническим средствам организации дорожного движения и оборудованию дорог и улиц, включая дорожные знаки, дорожную разметку, дорожные светофоры, дорожные ограждения и наружное освещение.</w:t>
      </w:r>
    </w:p>
    <w:p w:rsidR="00A77B3E">
      <w:r>
        <w:t>В соответствии с требованиями пунктов 6.1.1, 6.2.2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разметка дорог устанавливает режимы, порядок движения, является средством визуального ориентирования водителей и может применяться как самостоятельно, так и в сочетании с другими техническими средствами организации дорожного движения. В населенных пунктах горизонтальную разметку применяют на магистральных дорогах и улицах, дорогах и улицах местного значения, а в сельских поселениях - на дорогах и улицах, по которым осуществляется движение маршрутных транспортных средств. Вне населенных пунктов горизонтальную разметку применяют на дорогах с проезжей частью шириной не менее 6 м при интенсивности движения 1000 авт./сут. и более. Разметку допускается применять и на других дорогах, когда это необходимо для обеспечения безопасности дорожного движения.</w:t>
      </w:r>
    </w:p>
    <w:p w:rsidR="00A77B3E">
      <w: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Правительством РФ от 23 октября 1993г. N 1090, предусмотрено, что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77B3E">
      <w: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A77B3E">
      <w:r>
        <w:t>Оценивая в совокупности имеющиеся в материалах дела доказательства, мировой судья признает, что отсутствие дорожных знаков 2.1 «Главная дорога», 5.19.1(2) «Пешеходный переход», а также дефекты дорожного покрытия (выбоина), занижена обочина, отсутствие горизонтальной разметки в полном объеме, а также отсутствие треугольника видимости, на участке дороги по адрес- адрес, которые на момент рассмотрения дела устранены не были, свидетельствует о бездействии Администрации ...Н адрес...Н, выразившемся в не обеспечении надлежащего содержания вышеуказанной дороги для безопасного дорожного движения, что создавало угрозу для безопасности дорожного движения, что привело к негативным последствиям, вызванных ненадлежащим содержанием дорог.</w:t>
      </w:r>
    </w:p>
    <w:p w:rsidR="00A77B3E">
      <w:r>
        <w:t>Учитывая, что доказательств, подтверждающих принятие юридическим лицом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 а указные представителем причины, суд находит не убедительными, бездействие Администрации ...Н адрес...Н образуют объективную сторону состава административного правонарушения. Чрезвычайных и непредотвратимых обстоятельств, исключающих возможность соблюдения действующих нор и правил, не установлено.</w:t>
      </w:r>
    </w:p>
    <w:p w:rsidR="00A77B3E">
      <w:r>
        <w:t>Учитывая вышеизложенные доказательства в их совокупности, суд приходит к выводу, что действия Администрации ...Н адрес...Н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Учитывая вышеизложенные доказательства в их совокупности, суд приходит к выводу, что доказательства по делу являются допустимыми последовательными и не противоречивыми. </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ч.3 КоАП РФ, при назначении административного наказания юридическому лицу, суд учитывает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При таких обстоятельствах  действия Администрации ...Н адрес...Н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Принимая во внимание характер и обстоятельства совершенного административного правонарушения, а также те обстоятельства, что юридическое лицо ненадлежащим образом выполнило свои должностные обязанности, не приняв зависящие от них достаточные и своевременные меры для предотвращения правонарушения, также то обстоятельство, что  юридического лица выполнило свои обязанности, согласно выделенного финансирования, которое не подтверждено, не является основание для освобождения от административной ответственности, поскольку уставная деятельность Администрации ...Н адрес...Н направлена на выполнение работ по строительству, реконструкции, содержанию и ремонту дорог в соответствии с требованиями ГОСТ Р 50597-93, обязано устанавливать предупреждающие дорожные знаки, а также устранение дефектов дорожного покрытия (выбоин), занижение обочины, отсутствие горизонтальной разметки в полном объеме, а также отсутствие треугольника видимости, что выполнено не было, суд пришел к выводу о возможности назначить им административное наказание в виде штрафа в пределах санкции ст. 12.34 ч.1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Юридическое лицо – Администрацию ...Н...НСПадрес...Н...НСПадрес признать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им административное наказание в виде штрафа в сумме телефон (сумма прописью) рублей.</w:t>
      </w:r>
    </w:p>
    <w:p w:rsidR="00A77B3E">
      <w:r>
        <w:t xml:space="preserve">          Штраф подлежит уплате по реквизитам: получатель УФК (ОМВД России по адрес), ИНН ...р/счет , назначение платежа – административный штраф).</w:t>
      </w:r>
    </w:p>
    <w:p w:rsidR="00A77B3E">
      <w:r>
        <w:t xml:space="preserve">   Согласно ст. 32.2 ч.1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A77B3E">
      <w:r>
        <w:t>Согласно ст. 32.2 ч. 1.3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Квитанцию об уплате штрафа необходимо предоставить в Мировой суд судебного участка № 65 Нижнегорского судебного района (Нижнегорский муниципальный район) Республики Крым, по адресу: п. Нижнегорский, ул. ...ул.</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