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№ 5-70-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и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1, 2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х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Ф),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в.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216682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э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1.1, 1.3 - 1.3-3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1.4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31.5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10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60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м.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 xml:space="preserve">ч. 1 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4.1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н,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20.20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4.3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в,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20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Ф,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ю 1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 20 (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ь)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ъ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у,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и,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4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20.25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ш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к.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ь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>ю.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